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2024年度农村生活污水治理为民办实事项目工作指导及核查评估项目</w:t>
      </w:r>
    </w:p>
    <w:p>
      <w:pPr>
        <w:pStyle w:val="null3"/>
        <w:jc w:val="center"/>
        <w:outlineLvl w:val="2"/>
      </w:pPr>
      <w:r>
        <w:rPr>
          <w:sz w:val="28"/>
          <w:b/>
        </w:rPr>
        <w:t>备案编号：</w:t>
      </w:r>
      <w:r>
        <w:rPr>
          <w:sz w:val="28"/>
          <w:b/>
        </w:rPr>
        <w:t>CGXM-2024-350001-01659[2024]02250</w:t>
      </w:r>
    </w:p>
    <w:p>
      <w:pPr>
        <w:pStyle w:val="null3"/>
        <w:jc w:val="center"/>
        <w:outlineLvl w:val="2"/>
      </w:pPr>
      <w:r>
        <w:rPr>
          <w:sz w:val="28"/>
          <w:b/>
        </w:rPr>
        <w:t>项目编号：</w:t>
      </w:r>
      <w:r>
        <w:rPr>
          <w:sz w:val="28"/>
          <w:b/>
        </w:rPr>
        <w:t>[350001]SA[CS]2024001</w:t>
      </w:r>
    </w:p>
    <w:p>
      <w:pPr>
        <w:pStyle w:val="null3"/>
        <w:jc w:val="center"/>
        <w:outlineLvl w:val="2"/>
      </w:pPr>
      <w:r>
        <w:rPr>
          <w:sz w:val="28"/>
          <w:b/>
        </w:rPr>
        <w:t>采购人：</w:t>
      </w:r>
      <w:r>
        <w:rPr>
          <w:sz w:val="28"/>
          <w:b/>
        </w:rPr>
        <w:t>福建省生态环境厅</w:t>
      </w:r>
    </w:p>
    <w:p>
      <w:pPr>
        <w:pStyle w:val="null3"/>
        <w:jc w:val="center"/>
        <w:outlineLvl w:val="2"/>
      </w:pPr>
      <w:r>
        <w:rPr>
          <w:sz w:val="28"/>
          <w:b/>
        </w:rPr>
        <w:t>代理机构：</w:t>
      </w:r>
      <w:r>
        <w:rPr>
          <w:sz w:val="28"/>
          <w:b/>
        </w:rPr>
        <w:t>福建顺安招标代理有限公司</w:t>
      </w:r>
    </w:p>
    <w:p>
      <w:pPr>
        <w:pStyle w:val="null3"/>
        <w:jc w:val="center"/>
        <w:outlineLvl w:val="2"/>
      </w:pPr>
      <w:r>
        <w:rPr>
          <w:sz w:val="28"/>
          <w:b/>
        </w:rPr>
        <w:t>编制时间</w:t>
      </w:r>
      <w:r>
        <w:rPr>
          <w:sz w:val="28"/>
          <w:b/>
        </w:rPr>
        <w:t>：</w:t>
      </w:r>
      <w:r>
        <w:rPr>
          <w:sz w:val="28"/>
          <w:b/>
        </w:rPr>
        <w:t>2024年06月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福建省生态环境厅</w:t>
      </w:r>
      <w:r>
        <w:rPr/>
        <w:t xml:space="preserve"> 已根据政府采购相关法律法规，经相应程序确定采用 竞争性磋商 方式组织 </w:t>
      </w:r>
      <w:r>
        <w:rPr/>
        <w:t>2024年度农村生活污水治理为民办实事项目工作指导及核查评估项目</w:t>
      </w:r>
      <w:r>
        <w:rPr/>
        <w:t xml:space="preserve"> 项目（以下简称：“本项目”）的政府采购活动， </w:t>
      </w:r>
      <w:r>
        <w:rPr/>
        <w:t>现欢迎国内合格的供应商前来参加。</w:t>
      </w:r>
      <w:r>
        <w:rPr/>
        <w:t xml:space="preserve"> 本项目由采购人委托 </w:t>
      </w:r>
      <w:r>
        <w:rPr/>
        <w:t>福建顺安招标代理有限公司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2024年度农村生活污水治理为民办实事项目工作指导及核查评估项目</w:t>
      </w:r>
    </w:p>
    <w:p>
      <w:pPr>
        <w:pStyle w:val="null3"/>
        <w:ind w:firstLine="480"/>
        <w:jc w:val="left"/>
        <w:outlineLvl w:val="2"/>
      </w:pPr>
      <w:r>
        <w:rPr>
          <w:sz w:val="28"/>
          <w:b/>
        </w:rPr>
        <w:t>2.备案编号</w:t>
      </w:r>
      <w:r>
        <w:rPr>
          <w:sz w:val="28"/>
          <w:b/>
        </w:rPr>
        <w:t xml:space="preserve">： </w:t>
      </w:r>
      <w:r>
        <w:rPr>
          <w:sz w:val="28"/>
          <w:b/>
        </w:rPr>
        <w:t>CGXM-2024-350001-01659[2024]02250</w:t>
      </w:r>
    </w:p>
    <w:p>
      <w:pPr>
        <w:pStyle w:val="null3"/>
        <w:ind w:firstLine="480"/>
        <w:jc w:val="left"/>
        <w:outlineLvl w:val="2"/>
      </w:pPr>
      <w:r>
        <w:rPr>
          <w:sz w:val="28"/>
          <w:b/>
        </w:rPr>
        <w:t>3.项目编号</w:t>
      </w:r>
      <w:r>
        <w:rPr>
          <w:sz w:val="28"/>
          <w:b/>
        </w:rPr>
        <w:t xml:space="preserve">： </w:t>
      </w:r>
      <w:r>
        <w:rPr>
          <w:sz w:val="28"/>
          <w:b/>
        </w:rPr>
        <w:t>[350001]SA[CS]2024001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550,000.00</w:t>
      </w:r>
    </w:p>
    <w:p>
      <w:pPr>
        <w:pStyle w:val="null3"/>
        <w:jc w:val="left"/>
      </w:pPr>
      <w:r>
        <w:rPr/>
        <w:t>采购包最高限价（元）: 550,000.00</w:t>
      </w:r>
    </w:p>
    <w:p>
      <w:pPr>
        <w:pStyle w:val="null3"/>
        <w:jc w:val="left"/>
      </w:pPr>
      <w:r>
        <w:rPr/>
        <w:t>采购包保证金金额（元）: 5,500.00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服务</w:t>
            </w:r>
          </w:p>
        </w:tc>
        <w:tc>
          <w:tcPr>
            <w:tcW w:type="dxa" w:w="1187"/>
          </w:tcPr>
          <w:p>
            <w:pPr>
              <w:pStyle w:val="null3"/>
              <w:jc w:val="right"/>
            </w:pPr>
            <w:r>
              <w:rPr/>
              <w:t>1.00</w:t>
            </w:r>
          </w:p>
        </w:tc>
        <w:tc>
          <w:tcPr>
            <w:tcW w:type="dxa" w:w="1187"/>
          </w:tcPr>
          <w:p>
            <w:pPr>
              <w:pStyle w:val="null3"/>
              <w:jc w:val="right"/>
            </w:pPr>
            <w:r>
              <w:rPr/>
              <w:t>550,000.00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8306"/>
            <w:gridSpan w:val="2"/>
          </w:tcPr>
          <w:p>
            <w:pPr>
              <w:pStyle w:val="null3"/>
              <w:jc w:val="left"/>
            </w:pPr>
            <w:r>
              <w:rPr/>
              <w:t xml:space="preserve"> 无</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福建省生态环境厅</w:t>
      </w:r>
    </w:p>
    <w:p>
      <w:pPr>
        <w:pStyle w:val="null3"/>
        <w:ind w:firstLine="960"/>
        <w:jc w:val="left"/>
      </w:pPr>
      <w:r>
        <w:rPr/>
        <w:t xml:space="preserve"> 地址： </w:t>
      </w:r>
      <w:r>
        <w:rPr/>
        <w:t>福州市鼓楼区环保路8号</w:t>
      </w:r>
    </w:p>
    <w:p>
      <w:pPr>
        <w:pStyle w:val="null3"/>
        <w:jc w:val="left"/>
      </w:pPr>
      <w:r>
        <w:rPr/>
        <w:t xml:space="preserve"> 邮编： </w:t>
      </w:r>
      <w:r>
        <w:rPr/>
        <w:t>350000</w:t>
      </w:r>
    </w:p>
    <w:p>
      <w:pPr>
        <w:pStyle w:val="null3"/>
        <w:jc w:val="left"/>
      </w:pPr>
      <w:r>
        <w:rPr/>
        <w:t xml:space="preserve"> 联系人： </w:t>
      </w:r>
      <w:r>
        <w:rPr/>
        <w:t>林林</w:t>
      </w:r>
    </w:p>
    <w:p>
      <w:pPr>
        <w:pStyle w:val="null3"/>
        <w:jc w:val="left"/>
      </w:pPr>
      <w:r>
        <w:rPr/>
        <w:t xml:space="preserve"> 联系电话： </w:t>
      </w:r>
      <w:r>
        <w:rPr/>
        <w:t>0591-88367161</w:t>
      </w:r>
    </w:p>
    <w:p>
      <w:pPr>
        <w:pStyle w:val="null3"/>
        <w:ind w:firstLine="480"/>
        <w:jc w:val="left"/>
        <w:outlineLvl w:val="2"/>
      </w:pPr>
      <w:r>
        <w:rPr>
          <w:sz w:val="28"/>
          <w:b/>
        </w:rPr>
        <w:t>14、代理机构</w:t>
      </w:r>
      <w:r>
        <w:rPr>
          <w:sz w:val="28"/>
          <w:b/>
        </w:rPr>
        <w:t>：</w:t>
      </w:r>
      <w:r>
        <w:rPr>
          <w:sz w:val="28"/>
          <w:b/>
        </w:rPr>
        <w:t>福建顺安招标代理有限公司</w:t>
      </w:r>
    </w:p>
    <w:p>
      <w:pPr>
        <w:pStyle w:val="null3"/>
        <w:ind w:firstLine="960"/>
        <w:jc w:val="left"/>
      </w:pPr>
      <w:r>
        <w:rPr/>
        <w:t xml:space="preserve"> 地址： </w:t>
      </w:r>
      <w:r>
        <w:rPr/>
        <w:t>福州市鼓楼区鼓东街道湖东路79号外运大厦6层东区</w:t>
      </w:r>
    </w:p>
    <w:p>
      <w:pPr>
        <w:pStyle w:val="null3"/>
        <w:jc w:val="left"/>
      </w:pPr>
      <w:r>
        <w:rPr/>
        <w:t xml:space="preserve"> 邮编： </w:t>
      </w:r>
      <w:r>
        <w:rPr/>
        <w:t>350000</w:t>
      </w:r>
    </w:p>
    <w:p>
      <w:pPr>
        <w:pStyle w:val="null3"/>
        <w:jc w:val="left"/>
      </w:pPr>
      <w:r>
        <w:rPr/>
        <w:t xml:space="preserve"> 联系人： </w:t>
      </w:r>
      <w:r>
        <w:rPr/>
        <w:t>张晓红、陈丽娜、林升晶</w:t>
      </w:r>
    </w:p>
    <w:p>
      <w:pPr>
        <w:pStyle w:val="null3"/>
        <w:jc w:val="left"/>
      </w:pPr>
      <w:r>
        <w:rPr/>
        <w:t xml:space="preserve"> 联系电话： </w:t>
      </w:r>
      <w:r>
        <w:rPr/>
        <w:t>0591-87620860</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福建顺安招标代理有限公司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2553"/>
                  <w:gridSpan w:val="2"/>
                </w:tcPr>
                <w:p>
                  <w:pPr>
                    <w:pStyle w:val="null3"/>
                    <w:jc w:val="left"/>
                  </w:pPr>
                  <w:r>
                    <w:rPr/>
                    <w:t xml:space="preserve"> 无</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福建省财政厅政府采购监督管理办公室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以成交金额为计算基数，按差额定率累进法计算，标准如下：100万元（含）以下：1.5%，在此基础上下浮20%计取，不足4000元的，按4000元收取；②成交人在领取成交通知书前应先以转帐或电汇付款方式一次性向招标代理机构缴纳招标代理服务费。代理服务费账户：开户名：福建顺安招标代理有限公司； 开户行：中国工商银行股份有限公司福州上江城支行；账号：1402024609006902526。</w:t>
            </w:r>
          </w:p>
          <w:p>
            <w:pPr>
              <w:pStyle w:val="null3"/>
              <w:jc w:val="left"/>
            </w:pPr>
            <w:r>
              <w:rPr/>
              <w:t xml:space="preserve"> (2)其他：</w:t>
            </w:r>
          </w:p>
          <w:p>
            <w:pPr>
              <w:pStyle w:val="null3"/>
              <w:jc w:val="left"/>
            </w:pPr>
            <w:r>
              <w:rPr/>
              <w:t>①无效响应及废标条款：具体内容详见磋商文件各章节，请各供应商认真查看对照。②供应商需在法定质疑期内一次性提出针对同一采购程序环节质疑，否则重复提交的质疑函将不予接收。</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①供应商名称（系统注册名称）应与CA证书供应商名称、保证金来源账户名称、电子投标文件供应商名称、递交的纸质响应文件供应商名称保持一致，否则按响应无效处理。请供应商注意。 ②本项目允许供应商远程解密:a.通过远程参与开标流程的供应商，供应商可远程线上解密（相关操作手册可查看福建省政府采购网首页操作指南），现场参与开标流程的供应商请携带CA证书到开标现场进行解密，选择携带CA证书并由代理机构进行解密的应在响应文件提交截止时间前到达开标现场，否则不予接收。供应商选择远程线上解密的，无须将CA证书送至开标地点。b.供应商不到开标现场的，请在开标时自行登录采购系统，线上参与开标流程，并按规定在相应时段对投标（响应）文件进行远程解密(30分钟)、远程签章（10分钟）。c.供应商应确保自身设施、设备、网络环境状况良好，在开标过程中因供应商自身原因未在规定的操作时间内完成投标(响应)文件的解密、签章。逾期未解密的，视为自行放弃投标（响应），供应商未在规定的操作时间内完成远程签章的，视为默认开标结果。d.最后报价时需用到供应商CA证书、电脑及网络，各供应商须考虑前述因素，并自行准备,提交最后报价截止时间为磋商小组组长发起磋商与报价通知后60分钟内，如供应商磋商与报价超时未响应，超时供应商视为主动退出的无效供应商。</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本采购标的对应的中小企业划分标准所属行业为“其他未列明行业”。 本项目执行的政府采购优惠政策如下：（一）《政府采购促进中小企业发展管理办法》（财库〔2020〕46号）文中规定的价格扣除：在非专门面向中小企业的采购项目中，对符合该管理办法规定的小微企业报价给予相应的价格扣除（货物、服务类项目按15%扣除，工程项目按3% 扣除），用扣除后的价格参加评审。 1、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 2、大型企业提供的所有采购标的均为小微企业制造的，可享受价格扣除；如果一个采购项目或采购包含有多个采购标的的，则每个采购标的均应由中小企业制造，否则不予价格扣除。 3、参加政府采购活动的中小企业应当提供《中小企业声明函》(见本文件最后章节格式)；若投标人提供的《中小企业声明函》中填写的行业与招标文件中明确的采购标的对应的中小企业划分标准所属行业不一致，则不予认定为中小企业。 （二）监狱企业优惠政策：根据财库【2014】68号文《关于政府采购支持监狱企业发展有关问题的通知》的规定，在政府采购活动中，监狱企业视同小型、微型企业，享受预留份额、评审中价格扣除等政府采购促进中小企业发展的政府采购政策。 监狱企业参加政府采购活动时，应当提供由省级以上监狱管理局、戒毒管理局(含新疆生产建设兵团)出具的属于监狱企业的证明文件，否则不予价格扣除。监狱企业属于小型、微型企业的，不重复享受政策。 （三）残疾人福利性单位优惠政策：根据财库〔2017〕141号文《关于促进残疾人就业政府采购政策的通知》的规定，在政府采购活动中，残疾人福利性单位视同小型、微型企业，享受预留份额、评审中价格扣除等促进中小企业发展的政府采购政策。对残疾人福利性单位与其他组织组成联合体参与政府采购活动的，残疾人福利性单位的协议合同金额占总合同金额30%以上的，给予联合体合同金额5%的价格扣除。残疾人福利性单位参加政府采购活动时，应当提供《残疾人福利性单位声明函》并加单位公章(见本文件最后章节格式)。 残疾人福利性单位属于小型、微型企业的，不重复享受政策。 说明：采购代理机构将在中标、成交结果公告同时公告中标人提交的《中小企业声明函》或《残疾人福利性单位声明函》，接受社会监督。供应商应当对其出具的声明函的真实性负责，如内容不实的，属于提供虚假材料谋取中标、成交，其中标、成交无效，并依照《政府采购法》第七十七条第一款的规定追究法律责任。</w:t>
            </w:r>
          </w:p>
        </w:tc>
      </w:tr>
    </w:tbl>
    <w:p>
      <w:pPr>
        <w:pStyle w:val="null3"/>
        <w:jc w:val="left"/>
      </w:pPr>
      <w:r>
        <w:rPr/>
        <w:t>其他：无</w:t>
      </w:r>
    </w:p>
    <w:p>
      <w:pPr>
        <w:pStyle w:val="null3"/>
        <w:jc w:val="left"/>
      </w:pPr>
      <w:r>
        <w:rPr/>
        <w:t>技术部分评分PT 满分为72.0000分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1、技术响应</w:t>
            </w:r>
          </w:p>
        </w:tc>
        <w:tc>
          <w:tcPr>
            <w:tcW w:type="dxa" w:w="831"/>
          </w:tcPr>
          <w:p>
            <w:pPr>
              <w:pStyle w:val="null3"/>
              <w:jc w:val="right"/>
            </w:pPr>
            <w:r>
              <w:rPr/>
              <w:t>39.0000</w:t>
            </w:r>
          </w:p>
        </w:tc>
        <w:tc>
          <w:tcPr>
            <w:tcW w:type="dxa" w:w="4153"/>
          </w:tcPr>
          <w:p>
            <w:pPr>
              <w:pStyle w:val="null3"/>
              <w:jc w:val="left"/>
            </w:pPr>
            <w:r>
              <w:rPr/>
              <w:t>根据供应商对磋商文件第三章“采购内容及要求”的响应情况，由磋商小组按以下标准进行评分：完全满足磋商文件要求的得39分。“★”标示（共计1项）的内容为不允许负偏离的实质性要求，不允许负偏离，否则视为响应无效；未用任何符号标示的指标项（共计13项），每负偏离一项扣3分，扣完为止，正偏离不加分。</w:t>
            </w:r>
          </w:p>
        </w:tc>
      </w:tr>
      <w:tr>
        <w:tc>
          <w:tcPr>
            <w:tcW w:type="dxa" w:w="3322"/>
          </w:tcPr>
          <w:p>
            <w:pPr>
              <w:pStyle w:val="null3"/>
              <w:jc w:val="left"/>
            </w:pPr>
            <w:r>
              <w:rPr/>
              <w:t>2、项目分析</w:t>
            </w:r>
          </w:p>
        </w:tc>
        <w:tc>
          <w:tcPr>
            <w:tcW w:type="dxa" w:w="831"/>
          </w:tcPr>
          <w:p>
            <w:pPr>
              <w:pStyle w:val="null3"/>
              <w:jc w:val="right"/>
            </w:pPr>
            <w:r>
              <w:rPr/>
              <w:t>3.0000</w:t>
            </w:r>
          </w:p>
        </w:tc>
        <w:tc>
          <w:tcPr>
            <w:tcW w:type="dxa" w:w="4153"/>
          </w:tcPr>
          <w:p>
            <w:pPr>
              <w:pStyle w:val="null3"/>
              <w:jc w:val="left"/>
            </w:pPr>
            <w:r>
              <w:rPr/>
              <w:t>根据供应商对全省农村生活污水治理为民办实事、成效评估工作的熟悉程度，从政策背景、项目的立项目的与意义进行分析，由磋商小组进行评分：①分析全面、深入的得3分；②分析较全面、较深入的得2分；③分析不全面、不深入的得1分；④未提供的不得分。</w:t>
            </w:r>
          </w:p>
        </w:tc>
      </w:tr>
      <w:tr>
        <w:tc>
          <w:tcPr>
            <w:tcW w:type="dxa" w:w="3322"/>
          </w:tcPr>
          <w:p>
            <w:pPr>
              <w:pStyle w:val="null3"/>
              <w:jc w:val="left"/>
            </w:pPr>
            <w:r>
              <w:rPr/>
              <w:t>3、项目实施方案</w:t>
            </w:r>
          </w:p>
        </w:tc>
        <w:tc>
          <w:tcPr>
            <w:tcW w:type="dxa" w:w="831"/>
          </w:tcPr>
          <w:p>
            <w:pPr>
              <w:pStyle w:val="null3"/>
              <w:jc w:val="right"/>
            </w:pPr>
            <w:r>
              <w:rPr/>
              <w:t>3.0000</w:t>
            </w:r>
          </w:p>
        </w:tc>
        <w:tc>
          <w:tcPr>
            <w:tcW w:type="dxa" w:w="4153"/>
          </w:tcPr>
          <w:p>
            <w:pPr>
              <w:pStyle w:val="null3"/>
              <w:jc w:val="left"/>
            </w:pPr>
            <w:r>
              <w:rPr/>
              <w:t>根据供应商针对本项目提供的项目实施方案（包括但不限于指导依据、组织实施等内容）的情况由磋商小组进行评分：①工作思路清晰，服务内容框架完整，技术路线内容合理的得3分；②工作思路较清晰，服务内容框架较完整，技术路线内容较合理的得2分；③工作思路一般，服务内容框架一般， 技术路线内容一般的得1分；④未提供的不得分。</w:t>
            </w:r>
          </w:p>
        </w:tc>
      </w:tr>
      <w:tr>
        <w:tc>
          <w:tcPr>
            <w:tcW w:type="dxa" w:w="3322"/>
          </w:tcPr>
          <w:p>
            <w:pPr>
              <w:pStyle w:val="null3"/>
              <w:jc w:val="left"/>
            </w:pPr>
            <w:r>
              <w:rPr/>
              <w:t>4、管理组织构架</w:t>
            </w:r>
          </w:p>
        </w:tc>
        <w:tc>
          <w:tcPr>
            <w:tcW w:type="dxa" w:w="831"/>
          </w:tcPr>
          <w:p>
            <w:pPr>
              <w:pStyle w:val="null3"/>
              <w:jc w:val="right"/>
            </w:pPr>
            <w:r>
              <w:rPr/>
              <w:t>3.0000</w:t>
            </w:r>
          </w:p>
        </w:tc>
        <w:tc>
          <w:tcPr>
            <w:tcW w:type="dxa" w:w="4153"/>
          </w:tcPr>
          <w:p>
            <w:pPr>
              <w:pStyle w:val="null3"/>
              <w:jc w:val="left"/>
            </w:pPr>
            <w:r>
              <w:rPr/>
              <w:t>根据供应商提供的管理组织构架（包含但不限于组织机构设置、职责、分工等方面）的情况由磋商小组进行评分：①在满足基本要求基础上增加有利于项目工作内容的得3分；②只是满足基本要求的得2分；③未完全响应基本要求存在缺项的得1分；④未提供的不得分。</w:t>
            </w:r>
          </w:p>
        </w:tc>
      </w:tr>
      <w:tr>
        <w:tc>
          <w:tcPr>
            <w:tcW w:type="dxa" w:w="3322"/>
          </w:tcPr>
          <w:p>
            <w:pPr>
              <w:pStyle w:val="null3"/>
              <w:jc w:val="left"/>
            </w:pPr>
            <w:r>
              <w:rPr/>
              <w:t>5、项目进度安排、进度保障措施</w:t>
            </w:r>
          </w:p>
        </w:tc>
        <w:tc>
          <w:tcPr>
            <w:tcW w:type="dxa" w:w="831"/>
          </w:tcPr>
          <w:p>
            <w:pPr>
              <w:pStyle w:val="null3"/>
              <w:jc w:val="right"/>
            </w:pPr>
            <w:r>
              <w:rPr/>
              <w:t>3.0000</w:t>
            </w:r>
          </w:p>
        </w:tc>
        <w:tc>
          <w:tcPr>
            <w:tcW w:type="dxa" w:w="4153"/>
          </w:tcPr>
          <w:p>
            <w:pPr>
              <w:pStyle w:val="null3"/>
              <w:jc w:val="left"/>
            </w:pPr>
            <w:r>
              <w:rPr/>
              <w:t>根据供应商提供的项目进度安排、进度保障措施由磋商小组进行评分：①方案满足项目要求、全面合理、详细可行得3分；②方案基本满足项目要求、较合理、较可行得2分；③方案部分满足项目要求的得1分；④未提供的不得分。</w:t>
            </w:r>
          </w:p>
        </w:tc>
      </w:tr>
      <w:tr>
        <w:tc>
          <w:tcPr>
            <w:tcW w:type="dxa" w:w="3322"/>
          </w:tcPr>
          <w:p>
            <w:pPr>
              <w:pStyle w:val="null3"/>
              <w:jc w:val="left"/>
            </w:pPr>
            <w:r>
              <w:rPr/>
              <w:t>6、农村生活污水治理为民办实事村庄的指导方案</w:t>
            </w:r>
          </w:p>
        </w:tc>
        <w:tc>
          <w:tcPr>
            <w:tcW w:type="dxa" w:w="831"/>
          </w:tcPr>
          <w:p>
            <w:pPr>
              <w:pStyle w:val="null3"/>
              <w:jc w:val="right"/>
            </w:pPr>
            <w:r>
              <w:rPr/>
              <w:t>3.0000</w:t>
            </w:r>
          </w:p>
        </w:tc>
        <w:tc>
          <w:tcPr>
            <w:tcW w:type="dxa" w:w="4153"/>
          </w:tcPr>
          <w:p>
            <w:pPr>
              <w:pStyle w:val="null3"/>
              <w:jc w:val="left"/>
            </w:pPr>
            <w:r>
              <w:rPr/>
              <w:t>根据供应商提供的对农村生活污水治理为民办实事村庄的指导方案的情况由磋商小组评分：①方案完整、科学、合理、有指导性的得3分；②方案较完整、较科学、较合理、指导性较好的得2分；③方案不完整性、不科学性、不合理性、指导性一般的得1分，④未提供的不得分。</w:t>
            </w:r>
          </w:p>
        </w:tc>
      </w:tr>
      <w:tr>
        <w:tc>
          <w:tcPr>
            <w:tcW w:type="dxa" w:w="3322"/>
          </w:tcPr>
          <w:p>
            <w:pPr>
              <w:pStyle w:val="null3"/>
              <w:jc w:val="left"/>
            </w:pPr>
            <w:r>
              <w:rPr/>
              <w:t>7、九市一区年度工作核查评估方案</w:t>
            </w:r>
          </w:p>
        </w:tc>
        <w:tc>
          <w:tcPr>
            <w:tcW w:type="dxa" w:w="831"/>
          </w:tcPr>
          <w:p>
            <w:pPr>
              <w:pStyle w:val="null3"/>
              <w:jc w:val="right"/>
            </w:pPr>
            <w:r>
              <w:rPr/>
              <w:t>3.0000</w:t>
            </w:r>
          </w:p>
        </w:tc>
        <w:tc>
          <w:tcPr>
            <w:tcW w:type="dxa" w:w="4153"/>
          </w:tcPr>
          <w:p>
            <w:pPr>
              <w:pStyle w:val="null3"/>
              <w:jc w:val="left"/>
            </w:pPr>
            <w:r>
              <w:rPr/>
              <w:t>根据供应商对九市一区年度工作核查评估方案的情况由磋商小组评分：①方案完整、科学、合理的得3分；②方案较完整、较科学、较合理的得2分；③方案不完整、不科学、不合理的得1分；④未提供的不得分。</w:t>
            </w:r>
          </w:p>
        </w:tc>
      </w:tr>
      <w:tr>
        <w:tc>
          <w:tcPr>
            <w:tcW w:type="dxa" w:w="3322"/>
          </w:tcPr>
          <w:p>
            <w:pPr>
              <w:pStyle w:val="null3"/>
              <w:jc w:val="left"/>
            </w:pPr>
            <w:r>
              <w:rPr/>
              <w:t>8、九市一区年度工作核查评估成果报告框架</w:t>
            </w:r>
          </w:p>
        </w:tc>
        <w:tc>
          <w:tcPr>
            <w:tcW w:type="dxa" w:w="831"/>
          </w:tcPr>
          <w:p>
            <w:pPr>
              <w:pStyle w:val="null3"/>
              <w:jc w:val="right"/>
            </w:pPr>
            <w:r>
              <w:rPr/>
              <w:t>3.0000</w:t>
            </w:r>
          </w:p>
        </w:tc>
        <w:tc>
          <w:tcPr>
            <w:tcW w:type="dxa" w:w="4153"/>
          </w:tcPr>
          <w:p>
            <w:pPr>
              <w:pStyle w:val="null3"/>
              <w:jc w:val="left"/>
            </w:pPr>
            <w:r>
              <w:rPr/>
              <w:t>根据供应商针对九市一区年度工作核查评估的成果报告框架，由磋商小组进行评分：①内容框架完整，成果内容丰富的得3分；②内容框架较完整，成果内容较丰富的得2分；③内容框架不符合要求，成果内容不丰富的得1分；④未提供的不得分。</w:t>
            </w:r>
          </w:p>
        </w:tc>
      </w:tr>
      <w:tr>
        <w:tc>
          <w:tcPr>
            <w:tcW w:type="dxa" w:w="3322"/>
          </w:tcPr>
          <w:p>
            <w:pPr>
              <w:pStyle w:val="null3"/>
              <w:jc w:val="left"/>
            </w:pPr>
            <w:r>
              <w:rPr/>
              <w:t>9、数据保密及数据管理措施方案</w:t>
            </w:r>
          </w:p>
        </w:tc>
        <w:tc>
          <w:tcPr>
            <w:tcW w:type="dxa" w:w="831"/>
          </w:tcPr>
          <w:p>
            <w:pPr>
              <w:pStyle w:val="null3"/>
              <w:jc w:val="right"/>
            </w:pPr>
            <w:r>
              <w:rPr/>
              <w:t>3.0000</w:t>
            </w:r>
          </w:p>
        </w:tc>
        <w:tc>
          <w:tcPr>
            <w:tcW w:type="dxa" w:w="4153"/>
          </w:tcPr>
          <w:p>
            <w:pPr>
              <w:pStyle w:val="null3"/>
              <w:jc w:val="left"/>
            </w:pPr>
            <w:r>
              <w:rPr/>
              <w:t>根据供应商提供的数据保密及数据管理措施方案的情况由磋商小组进行评分：①方案满足项目要求、全面合理、详细可行得3分；②方案基本满足项目要求、较合理、较可行得2分；③方案不满足项目要求、不合理、不可行的得1分；④未提供的不得分。</w:t>
            </w:r>
          </w:p>
        </w:tc>
      </w:tr>
      <w:tr>
        <w:tc>
          <w:tcPr>
            <w:tcW w:type="dxa" w:w="3322"/>
          </w:tcPr>
          <w:p>
            <w:pPr>
              <w:pStyle w:val="null3"/>
              <w:jc w:val="left"/>
            </w:pPr>
            <w:r>
              <w:rPr/>
              <w:t>10、培训计划</w:t>
            </w:r>
          </w:p>
        </w:tc>
        <w:tc>
          <w:tcPr>
            <w:tcW w:type="dxa" w:w="831"/>
          </w:tcPr>
          <w:p>
            <w:pPr>
              <w:pStyle w:val="null3"/>
              <w:jc w:val="right"/>
            </w:pPr>
            <w:r>
              <w:rPr/>
              <w:t>3.0000</w:t>
            </w:r>
          </w:p>
        </w:tc>
        <w:tc>
          <w:tcPr>
            <w:tcW w:type="dxa" w:w="4153"/>
          </w:tcPr>
          <w:p>
            <w:pPr>
              <w:pStyle w:val="null3"/>
              <w:jc w:val="left"/>
            </w:pPr>
            <w:r>
              <w:rPr/>
              <w:t>根据供应商提供的培训计划（包括但不限于对采购人的管理人员、技术人员进行培训、学术支持等）的情况由磋商小组进行评分：①方案详实、切合实际的得3分；②方案部分详实或部分内容切合实际的得2分；③方案不够详实、不够切合实际的得1分；④未提供的不得分。</w:t>
            </w:r>
          </w:p>
        </w:tc>
      </w:tr>
      <w:tr>
        <w:tc>
          <w:tcPr>
            <w:tcW w:type="dxa" w:w="3322"/>
          </w:tcPr>
          <w:p>
            <w:pPr>
              <w:pStyle w:val="null3"/>
              <w:jc w:val="left"/>
            </w:pPr>
            <w:r>
              <w:rPr/>
              <w:t>11、应急解决方案</w:t>
            </w:r>
          </w:p>
        </w:tc>
        <w:tc>
          <w:tcPr>
            <w:tcW w:type="dxa" w:w="831"/>
          </w:tcPr>
          <w:p>
            <w:pPr>
              <w:pStyle w:val="null3"/>
              <w:jc w:val="right"/>
            </w:pPr>
            <w:r>
              <w:rPr/>
              <w:t>3.0000</w:t>
            </w:r>
          </w:p>
        </w:tc>
        <w:tc>
          <w:tcPr>
            <w:tcW w:type="dxa" w:w="4153"/>
          </w:tcPr>
          <w:p>
            <w:pPr>
              <w:pStyle w:val="null3"/>
              <w:jc w:val="left"/>
            </w:pPr>
            <w:r>
              <w:rPr/>
              <w:t>根据供应商针对本项目提供的应急解决方案的情况由磋商小组进行评分：①方案周全细致、结构完整、条理清晰、可行性强的得3分；②方案较周全细致、结构较完整、条理较清晰、可行性较强的得2分；③方案不周全细致、结构不完整、条理不清晰、可行性一般的得1分；④未提供的不得分。</w:t>
            </w:r>
          </w:p>
        </w:tc>
      </w:tr>
      <w:tr>
        <w:tc>
          <w:tcPr>
            <w:tcW w:type="dxa" w:w="3322"/>
          </w:tcPr>
          <w:p>
            <w:pPr>
              <w:pStyle w:val="null3"/>
              <w:jc w:val="left"/>
            </w:pPr>
            <w:r>
              <w:rPr/>
              <w:t>12、项目质量保障及服务措施</w:t>
            </w:r>
          </w:p>
        </w:tc>
        <w:tc>
          <w:tcPr>
            <w:tcW w:type="dxa" w:w="831"/>
          </w:tcPr>
          <w:p>
            <w:pPr>
              <w:pStyle w:val="null3"/>
              <w:jc w:val="right"/>
            </w:pPr>
            <w:r>
              <w:rPr/>
              <w:t>3.0000</w:t>
            </w:r>
          </w:p>
        </w:tc>
        <w:tc>
          <w:tcPr>
            <w:tcW w:type="dxa" w:w="4153"/>
          </w:tcPr>
          <w:p>
            <w:pPr>
              <w:pStyle w:val="null3"/>
              <w:jc w:val="left"/>
            </w:pPr>
            <w:r>
              <w:rPr/>
              <w:t>根据供应商针对本项目提供的项目质量保障及服务措施由磋商小组进行评分：①方案周全细致、结构完整、条理清晰、可行性强的得3分；②方案较周全细致、结构较完整、条理较清晰、可行性较强的得2分；③方案不周全细致、结构不完整、条理不清晰、可行性一般的得1分；④未提供的不得分。</w:t>
            </w:r>
          </w:p>
        </w:tc>
      </w:tr>
    </w:tbl>
    <w:p>
      <w:pPr>
        <w:pStyle w:val="null3"/>
        <w:jc w:val="left"/>
      </w:pPr>
      <w:r>
        <w:rPr/>
        <w:t>商务部分评分PB 满分为18.0000分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1、专项承诺</w:t>
            </w:r>
          </w:p>
        </w:tc>
        <w:tc>
          <w:tcPr>
            <w:tcW w:type="dxa" w:w="831"/>
          </w:tcPr>
          <w:p>
            <w:pPr>
              <w:pStyle w:val="null3"/>
              <w:jc w:val="right"/>
            </w:pPr>
            <w:r>
              <w:rPr/>
              <w:t>3.0000</w:t>
            </w:r>
          </w:p>
        </w:tc>
        <w:tc>
          <w:tcPr>
            <w:tcW w:type="dxa" w:w="4153"/>
          </w:tcPr>
          <w:p>
            <w:pPr>
              <w:pStyle w:val="null3"/>
              <w:jc w:val="left"/>
            </w:pPr>
            <w:r>
              <w:rPr/>
              <w:t>供应商承诺在项目开展期间，能派驻技术员实地协助采购人开展相关工作的得3分，须提供专项承诺函（格式自拟），未提供承诺函或承诺的内容不满足上述要求的不得分。</w:t>
            </w:r>
          </w:p>
        </w:tc>
      </w:tr>
      <w:tr>
        <w:tc>
          <w:tcPr>
            <w:tcW w:type="dxa" w:w="3322"/>
          </w:tcPr>
          <w:p>
            <w:pPr>
              <w:pStyle w:val="null3"/>
              <w:jc w:val="left"/>
            </w:pPr>
            <w:r>
              <w:rPr/>
              <w:t>2、项目负责人</w:t>
            </w:r>
          </w:p>
        </w:tc>
        <w:tc>
          <w:tcPr>
            <w:tcW w:type="dxa" w:w="831"/>
          </w:tcPr>
          <w:p>
            <w:pPr>
              <w:pStyle w:val="null3"/>
              <w:jc w:val="right"/>
            </w:pPr>
            <w:r>
              <w:rPr/>
              <w:t>1.0000</w:t>
            </w:r>
          </w:p>
        </w:tc>
        <w:tc>
          <w:tcPr>
            <w:tcW w:type="dxa" w:w="4153"/>
          </w:tcPr>
          <w:p>
            <w:pPr>
              <w:pStyle w:val="null3"/>
              <w:jc w:val="left"/>
            </w:pPr>
            <w:r>
              <w:rPr/>
              <w:t>供应商针对本项目拟派出的项目负责人（1人）有给排水或环境工程专业高级及以上工程师职称的得1分。【须提供该人员相关证书复印件、身份证复印件及响应文件递交截止时间前六个月任意一个月（不含提交响应文件截止当月）任一个月供应商为相应人员缴纳社保的证明文件并加盖公章，未提供或提供不全的不得分。】注：提供的人员不可与“3、技术负责人”、“4、技术人员”重复得分。</w:t>
            </w:r>
          </w:p>
        </w:tc>
      </w:tr>
      <w:tr>
        <w:tc>
          <w:tcPr>
            <w:tcW w:type="dxa" w:w="3322"/>
          </w:tcPr>
          <w:p>
            <w:pPr>
              <w:pStyle w:val="null3"/>
              <w:jc w:val="left"/>
            </w:pPr>
            <w:r>
              <w:rPr/>
              <w:t>3、技术负责人</w:t>
            </w:r>
          </w:p>
        </w:tc>
        <w:tc>
          <w:tcPr>
            <w:tcW w:type="dxa" w:w="831"/>
          </w:tcPr>
          <w:p>
            <w:pPr>
              <w:pStyle w:val="null3"/>
              <w:jc w:val="right"/>
            </w:pPr>
            <w:r>
              <w:rPr/>
              <w:t>1.0000</w:t>
            </w:r>
          </w:p>
        </w:tc>
        <w:tc>
          <w:tcPr>
            <w:tcW w:type="dxa" w:w="4153"/>
          </w:tcPr>
          <w:p>
            <w:pPr>
              <w:pStyle w:val="null3"/>
              <w:jc w:val="left"/>
            </w:pPr>
            <w:r>
              <w:rPr/>
              <w:t>供应商针对本项目拟派出的技术负责人（1人）具有国家职（执）业资格证书（环境影响评价工程师或环保工程师或公用设备工程师（给水排水））的得1分。【须提供该人员相关证书复印件、身份证复印件及响应文件递交截止时间前六个月任意一个月（不含提交响应文件截止当月）任一个月供应商为相应人员缴纳社保的证明文件并加盖公章，未提供或提供不全的不得分。】注：提供的人员不可与“2、项目负责人”、“4、技术人员”重复得分。</w:t>
            </w:r>
          </w:p>
        </w:tc>
      </w:tr>
      <w:tr>
        <w:tc>
          <w:tcPr>
            <w:tcW w:type="dxa" w:w="3322"/>
          </w:tcPr>
          <w:p>
            <w:pPr>
              <w:pStyle w:val="null3"/>
              <w:jc w:val="left"/>
            </w:pPr>
            <w:r>
              <w:rPr/>
              <w:t>4、技术人员</w:t>
            </w:r>
          </w:p>
        </w:tc>
        <w:tc>
          <w:tcPr>
            <w:tcW w:type="dxa" w:w="831"/>
          </w:tcPr>
          <w:p>
            <w:pPr>
              <w:pStyle w:val="null3"/>
              <w:jc w:val="right"/>
            </w:pPr>
            <w:r>
              <w:rPr/>
              <w:t>3.0000</w:t>
            </w:r>
          </w:p>
        </w:tc>
        <w:tc>
          <w:tcPr>
            <w:tcW w:type="dxa" w:w="4153"/>
          </w:tcPr>
          <w:p>
            <w:pPr>
              <w:pStyle w:val="null3"/>
              <w:jc w:val="left"/>
            </w:pPr>
            <w:r>
              <w:rPr/>
              <w:t>供应商针对本项目拟投入的技术人员为环境工程、环境科学、 市政给排水专业、建筑、结构、电气、造价相关专业的人数(人员中具备副高级或以上职称的≥3人)，由磋商小组进行评分：人员数量≥10 人的得3分；10 人＞人员数量≥8人的得2分；8人＞人员数量≥5人的得1分；人员数量＜5人的不得分。【须提供拟派人员名单，相关专业学历证书(或职称证书)复印件、身份证复印件及响应文件递交截止时间前六个月任意一个月（不含提交响应文件截止当月）任一个月供应商为相应人员缴纳社保的证明文件并加盖公章，同一人员不重复计分，未提供或提供不全的不得分。】注：提供的人员不可与“2、项目负责人”、“3、技术负责人”重复得分。</w:t>
            </w:r>
          </w:p>
        </w:tc>
      </w:tr>
      <w:tr>
        <w:tc>
          <w:tcPr>
            <w:tcW w:type="dxa" w:w="3322"/>
          </w:tcPr>
          <w:p>
            <w:pPr>
              <w:pStyle w:val="null3"/>
              <w:jc w:val="left"/>
            </w:pPr>
            <w:r>
              <w:rPr/>
              <w:t>5、服务方案</w:t>
            </w:r>
          </w:p>
        </w:tc>
        <w:tc>
          <w:tcPr>
            <w:tcW w:type="dxa" w:w="831"/>
          </w:tcPr>
          <w:p>
            <w:pPr>
              <w:pStyle w:val="null3"/>
              <w:jc w:val="right"/>
            </w:pPr>
            <w:r>
              <w:rPr/>
              <w:t>3.0000</w:t>
            </w:r>
          </w:p>
        </w:tc>
        <w:tc>
          <w:tcPr>
            <w:tcW w:type="dxa" w:w="4153"/>
          </w:tcPr>
          <w:p>
            <w:pPr>
              <w:pStyle w:val="null3"/>
              <w:jc w:val="left"/>
            </w:pPr>
            <w:r>
              <w:rPr/>
              <w:t>根据供应商针对本项目提供的服务方案（包含但不限于响应时间、对接流程等内容）的情况由磋商小组进行评分：①方案完全响应服务内容，并针对具体服务内容完整详细展开阐述，计划安排、成效与目标的制定科学合理、具备可操作性，得3分；②方案完全响应服务内容，仅针对部分具体服务内容展开阐述或阐述内容简短，或计划安排、成效与目标的制定欠缺可操作性，得2分；③方案仅按照服务内容进行响应，未展开阐述具体服务内容、计划安排、成效与目标的制定的得1分；④未提供的不得分。</w:t>
            </w:r>
          </w:p>
        </w:tc>
      </w:tr>
      <w:tr>
        <w:tc>
          <w:tcPr>
            <w:tcW w:type="dxa" w:w="3322"/>
          </w:tcPr>
          <w:p>
            <w:pPr>
              <w:pStyle w:val="null3"/>
              <w:jc w:val="left"/>
            </w:pPr>
            <w:r>
              <w:rPr/>
              <w:t>6、业绩</w:t>
            </w:r>
          </w:p>
        </w:tc>
        <w:tc>
          <w:tcPr>
            <w:tcW w:type="dxa" w:w="831"/>
          </w:tcPr>
          <w:p>
            <w:pPr>
              <w:pStyle w:val="null3"/>
              <w:jc w:val="right"/>
            </w:pPr>
            <w:r>
              <w:rPr/>
              <w:t>3.0000</w:t>
            </w:r>
          </w:p>
        </w:tc>
        <w:tc>
          <w:tcPr>
            <w:tcW w:type="dxa" w:w="4153"/>
          </w:tcPr>
          <w:p>
            <w:pPr>
              <w:pStyle w:val="null3"/>
              <w:jc w:val="left"/>
            </w:pPr>
            <w:r>
              <w:rPr/>
              <w:t>根据供应商提供的2019年1月1日以来至提交首次响应文件截止时间止（日期以合同签订时间为准），由供应商独立完成的与本项目同类业绩情况由磋商小组进行评分：每提供一项业绩的得1分，满分3分。【供应商须提供业绩列表及业绩项目的中标/成交公告（提供相关网站中标/成交公告的下载网页并注明网址）、中标/成交通知书、采购合同文本复印件及相关验收证明资料复印件。如未按以上要求完整提供证明材料不得分，无业绩或未提供任何业绩证明资料的本项不得分。】</w:t>
            </w:r>
          </w:p>
        </w:tc>
      </w:tr>
      <w:tr>
        <w:tc>
          <w:tcPr>
            <w:tcW w:type="dxa" w:w="3322"/>
          </w:tcPr>
          <w:p>
            <w:pPr>
              <w:pStyle w:val="null3"/>
              <w:jc w:val="left"/>
            </w:pPr>
            <w:r>
              <w:rPr/>
              <w:t>7、承诺函</w:t>
            </w:r>
          </w:p>
        </w:tc>
        <w:tc>
          <w:tcPr>
            <w:tcW w:type="dxa" w:w="831"/>
          </w:tcPr>
          <w:p>
            <w:pPr>
              <w:pStyle w:val="null3"/>
              <w:jc w:val="right"/>
            </w:pPr>
            <w:r>
              <w:rPr/>
              <w:t>2.0000</w:t>
            </w:r>
          </w:p>
        </w:tc>
        <w:tc>
          <w:tcPr>
            <w:tcW w:type="dxa" w:w="4153"/>
          </w:tcPr>
          <w:p>
            <w:pPr>
              <w:pStyle w:val="null3"/>
              <w:jc w:val="left"/>
            </w:pPr>
            <w:r>
              <w:rPr/>
              <w:t>供应商承诺在采购人需要临时应急调查核实上级反馈和群众反映问题等工作时，能够提供车辆、专业人员以及相关环境监测服务（能够出具正式报告）的得2分。须提供承诺函（格式自拟），未提供承诺函或承诺的内容不满足上述要求的不得分。</w:t>
            </w:r>
          </w:p>
        </w:tc>
      </w:tr>
      <w:tr>
        <w:tc>
          <w:tcPr>
            <w:tcW w:type="dxa" w:w="3322"/>
          </w:tcPr>
          <w:p>
            <w:pPr>
              <w:pStyle w:val="null3"/>
              <w:jc w:val="left"/>
            </w:pPr>
            <w:r>
              <w:rPr/>
              <w:t>8、车辆保障</w:t>
            </w:r>
          </w:p>
        </w:tc>
        <w:tc>
          <w:tcPr>
            <w:tcW w:type="dxa" w:w="831"/>
          </w:tcPr>
          <w:p>
            <w:pPr>
              <w:pStyle w:val="null3"/>
              <w:jc w:val="right"/>
            </w:pPr>
            <w:r>
              <w:rPr/>
              <w:t>2.0000</w:t>
            </w:r>
          </w:p>
        </w:tc>
        <w:tc>
          <w:tcPr>
            <w:tcW w:type="dxa" w:w="4153"/>
          </w:tcPr>
          <w:p>
            <w:pPr>
              <w:pStyle w:val="null3"/>
              <w:jc w:val="left"/>
            </w:pPr>
            <w:r>
              <w:rPr/>
              <w:t>供应商为本项目提供必要的工作车辆，工作车辆≥4辆的得2分；4辆＞工作车辆≥2辆的得1分；工作车辆＜2辆的不得分。注：①若车辆为供应商自有的，须同时提供车辆照片、车辆行驶证复印件并加盖供应商公章；②若车辆为租赁的，须同时提供租赁合同（租赁期须覆盖整个服务期）、车辆照片、车辆行驶证复印件并加盖供应商公章；③未提供或提供不全本项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若投标供应商的技术部分实际得分少于招标文件设定的技术部分总分50%，即视为技术部分未实质性响应招标文件要求，按响应无效处理。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磋商文件第三章“三、商务条件”的内容均为不允许负偏离的实质性要求 ，否则响应无效。</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1、省委省政府历来高度重视农村生活污水治理工作，连续多年将农村生活污水治理纳入省委省政府年度为民办实事项目，2023年，计划继续将“农村生活污水治理”提请列为省委、省政府为民办实事项目，推进500个村庄通过建设管网纳入城镇污水处理厂或者建设小型集中污水处理设施，开展农村生活污水治理。</w:t>
      </w:r>
    </w:p>
    <w:p>
      <w:pPr>
        <w:pStyle w:val="null3"/>
        <w:ind w:firstLine="480"/>
        <w:jc w:val="both"/>
      </w:pPr>
      <w:r>
        <w:rPr>
          <w:rFonts w:ascii="宋体" w:hAnsi="宋体" w:cs="宋体" w:eastAsia="宋体"/>
          <w:sz w:val="24"/>
        </w:rPr>
        <w:t>此外，根据《福建省农村生活污水提升治理五年行动计划（</w:t>
      </w:r>
      <w:r>
        <w:rPr>
          <w:rFonts w:ascii="宋体" w:hAnsi="宋体" w:cs="宋体" w:eastAsia="宋体"/>
          <w:sz w:val="24"/>
        </w:rPr>
        <w:t>2021-2025年）》（闽政办〔2021〕28号），要建立农村生活污水治理工作第三方评估制度，省级每年组织对各设区市开展成效评估，重点评估各地机制体制建立、资金筹措拨付、工程建设运维等方面成效，督促地方落实治理责任</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本项目为</w:t>
      </w:r>
      <w:r>
        <w:rPr>
          <w:rFonts w:ascii="宋体" w:hAnsi="宋体" w:cs="宋体" w:eastAsia="宋体"/>
          <w:sz w:val="24"/>
        </w:rPr>
        <w:t>2024年度农村生活污水治理为民办实事项目工作指导及核查评估项目</w:t>
      </w:r>
    </w:p>
    <w:p>
      <w:pPr>
        <w:pStyle w:val="null3"/>
        <w:jc w:val="both"/>
      </w:pPr>
      <w:r>
        <w:rPr>
          <w:rFonts w:ascii="宋体" w:hAnsi="宋体" w:cs="宋体" w:eastAsia="宋体"/>
          <w:sz w:val="24"/>
        </w:rPr>
        <w:t>3、供</w:t>
      </w:r>
      <w:r>
        <w:rPr>
          <w:rFonts w:ascii="宋体" w:hAnsi="宋体" w:cs="宋体" w:eastAsia="宋体"/>
          <w:sz w:val="24"/>
        </w:rPr>
        <w:t>应商</w:t>
      </w:r>
      <w:r>
        <w:rPr>
          <w:rFonts w:ascii="宋体" w:hAnsi="宋体" w:cs="宋体" w:eastAsia="宋体"/>
          <w:sz w:val="24"/>
        </w:rPr>
        <w:t>报价应包含本项目所发生的一切费用</w:t>
      </w:r>
      <w:r>
        <w:rPr>
          <w:rFonts w:ascii="宋体" w:hAnsi="宋体" w:cs="宋体" w:eastAsia="宋体"/>
          <w:sz w:val="24"/>
        </w:rPr>
        <w:t>(包括项目实施的人工费、成本费、交通费、相关税费、不可预见费用及其它一切支出等)等直至项目成果经验收合格交付采购人的所有相关费用。</w:t>
      </w:r>
    </w:p>
    <w:p>
      <w:pPr>
        <w:pStyle w:val="null3"/>
        <w:jc w:val="left"/>
        <w:outlineLvl w:val="2"/>
      </w:pPr>
      <w:r>
        <w:rPr>
          <w:sz w:val="28"/>
          <w:b/>
        </w:rPr>
        <w:t>二、技术要求</w:t>
      </w:r>
    </w:p>
    <w:p>
      <w:pPr>
        <w:pStyle w:val="null3"/>
        <w:jc w:val="left"/>
      </w:pPr>
      <w:r>
        <w:rPr>
          <w:rFonts w:ascii="宋体" w:hAnsi="宋体" w:cs="宋体" w:eastAsia="宋体"/>
          <w:sz w:val="24"/>
        </w:rPr>
        <w:t>（</w:t>
      </w:r>
      <w:r>
        <w:rPr>
          <w:rFonts w:ascii="宋体" w:hAnsi="宋体" w:cs="宋体" w:eastAsia="宋体"/>
          <w:sz w:val="24"/>
        </w:rPr>
        <w:t>一</w:t>
      </w:r>
      <w:r>
        <w:rPr>
          <w:rFonts w:ascii="宋体" w:hAnsi="宋体" w:cs="宋体" w:eastAsia="宋体"/>
          <w:sz w:val="24"/>
        </w:rPr>
        <w:t>）</w:t>
      </w:r>
      <w:r>
        <w:rPr>
          <w:rFonts w:ascii="宋体" w:hAnsi="宋体" w:cs="宋体" w:eastAsia="宋体"/>
          <w:sz w:val="24"/>
        </w:rPr>
        <w:t>技术服务内容</w:t>
      </w:r>
    </w:p>
    <w:p>
      <w:pPr>
        <w:pStyle w:val="null3"/>
        <w:jc w:val="both"/>
      </w:pPr>
      <w:r>
        <w:rPr>
          <w:rFonts w:ascii="宋体" w:hAnsi="宋体" w:cs="宋体" w:eastAsia="宋体"/>
          <w:sz w:val="24"/>
        </w:rPr>
        <w:t>1、</w:t>
      </w:r>
      <w:r>
        <w:rPr>
          <w:rFonts w:ascii="宋体" w:hAnsi="宋体" w:cs="宋体" w:eastAsia="宋体"/>
          <w:sz w:val="24"/>
        </w:rPr>
        <w:t>年度建设项目工作指导</w:t>
      </w:r>
    </w:p>
    <w:p>
      <w:pPr>
        <w:pStyle w:val="null3"/>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对纳入年度为民办实事项目的</w:t>
      </w:r>
      <w:r>
        <w:rPr>
          <w:rFonts w:ascii="宋体" w:hAnsi="宋体" w:cs="宋体" w:eastAsia="宋体"/>
          <w:sz w:val="24"/>
        </w:rPr>
        <w:t>500个村庄，根据福建省《农村生活污水处理设施水污染物排放标准》（DB35/1869-2019），以及各县域农村生活污水治理规划，开展实地调研，现场指导村庄数不少于50%，指导各村因地制宜选取技术路线和工艺设备，细化管路施工方案，落实“一村一设计”要求。</w:t>
      </w:r>
      <w:r>
        <w:rPr>
          <w:rFonts w:ascii="宋体" w:hAnsi="宋体" w:cs="宋体" w:eastAsia="宋体"/>
          <w:sz w:val="24"/>
          <w:b/>
        </w:rPr>
        <w:t>（项号</w:t>
      </w:r>
      <w:r>
        <w:rPr>
          <w:rFonts w:ascii="宋体" w:hAnsi="宋体" w:cs="宋体" w:eastAsia="宋体"/>
          <w:sz w:val="24"/>
          <w:b/>
        </w:rPr>
        <w:t>1）</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指导各村按要求做好施工，形成</w:t>
      </w:r>
      <w:r>
        <w:rPr>
          <w:rFonts w:ascii="宋体" w:hAnsi="宋体" w:cs="宋体" w:eastAsia="宋体"/>
          <w:sz w:val="24"/>
        </w:rPr>
        <w:t>“一村一报告”（同类型或同乡镇的村庄可合并）</w:t>
      </w:r>
      <w:r>
        <w:rPr>
          <w:rFonts w:ascii="宋体" w:hAnsi="宋体" w:cs="宋体" w:eastAsia="宋体"/>
          <w:sz w:val="24"/>
        </w:rPr>
        <w:t>。</w:t>
      </w:r>
      <w:r>
        <w:rPr>
          <w:rFonts w:ascii="宋体" w:hAnsi="宋体" w:cs="宋体" w:eastAsia="宋体"/>
          <w:sz w:val="24"/>
          <w:b/>
        </w:rPr>
        <w:t>（项号</w:t>
      </w:r>
      <w:r>
        <w:rPr>
          <w:rFonts w:ascii="宋体" w:hAnsi="宋体" w:cs="宋体" w:eastAsia="宋体"/>
          <w:sz w:val="24"/>
          <w:b/>
        </w:rPr>
        <w:t>2）</w:t>
      </w:r>
    </w:p>
    <w:p>
      <w:pPr>
        <w:pStyle w:val="null3"/>
        <w:jc w:val="both"/>
      </w:pPr>
      <w:r>
        <w:rPr>
          <w:rFonts w:ascii="宋体" w:hAnsi="宋体" w:cs="宋体" w:eastAsia="宋体"/>
          <w:sz w:val="24"/>
        </w:rPr>
        <w:t>2、</w:t>
      </w:r>
      <w:r>
        <w:rPr>
          <w:rFonts w:ascii="宋体" w:hAnsi="宋体" w:cs="宋体" w:eastAsia="宋体"/>
          <w:sz w:val="24"/>
        </w:rPr>
        <w:t>工作核查评估</w:t>
      </w:r>
    </w:p>
    <w:p>
      <w:pPr>
        <w:pStyle w:val="null3"/>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赴九市一区开展年度工作核查评估，核查</w:t>
      </w:r>
      <w:r>
        <w:rPr>
          <w:rFonts w:ascii="宋体" w:hAnsi="宋体" w:cs="宋体" w:eastAsia="宋体"/>
          <w:sz w:val="24"/>
        </w:rPr>
        <w:t>2024年度农村生活污水治理为民办实事项目进展情况，重点核查各地机制建立、资金筹措、建设运维等方面情况。</w:t>
      </w:r>
      <w:r>
        <w:rPr>
          <w:rFonts w:ascii="宋体" w:hAnsi="宋体" w:cs="宋体" w:eastAsia="宋体"/>
          <w:sz w:val="24"/>
          <w:b/>
        </w:rPr>
        <w:t>（项号</w:t>
      </w:r>
      <w:r>
        <w:rPr>
          <w:rFonts w:ascii="宋体" w:hAnsi="宋体" w:cs="宋体" w:eastAsia="宋体"/>
          <w:sz w:val="24"/>
          <w:b/>
        </w:rPr>
        <w:t>3）</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每个地区由专家带队，邀请人大代表、政协委员、环保志愿者以及热心乡村振兴有关人员参加。</w:t>
      </w:r>
      <w:r>
        <w:rPr>
          <w:rFonts w:ascii="宋体" w:hAnsi="宋体" w:cs="宋体" w:eastAsia="宋体"/>
          <w:sz w:val="24"/>
          <w:b/>
        </w:rPr>
        <w:t>（项号</w:t>
      </w:r>
      <w:r>
        <w:rPr>
          <w:rFonts w:ascii="宋体" w:hAnsi="宋体" w:cs="宋体" w:eastAsia="宋体"/>
          <w:sz w:val="24"/>
          <w:b/>
        </w:rPr>
        <w:t>4）</w:t>
      </w:r>
    </w:p>
    <w:p>
      <w:pPr>
        <w:pStyle w:val="null3"/>
        <w:jc w:val="both"/>
      </w:pPr>
      <w:r>
        <w:rPr>
          <w:rFonts w:ascii="宋体" w:hAnsi="宋体" w:cs="宋体" w:eastAsia="宋体"/>
          <w:sz w:val="24"/>
        </w:rPr>
        <w:t>（</w:t>
      </w:r>
      <w:r>
        <w:rPr>
          <w:rFonts w:ascii="宋体" w:hAnsi="宋体" w:cs="宋体" w:eastAsia="宋体"/>
          <w:sz w:val="24"/>
        </w:rPr>
        <w:t>3）对</w:t>
      </w:r>
      <w:r>
        <w:rPr>
          <w:rFonts w:ascii="宋体" w:hAnsi="宋体" w:cs="宋体" w:eastAsia="宋体"/>
          <w:sz w:val="24"/>
        </w:rPr>
        <w:t>泉州市农村黑臭水体试点成效开展核查。</w:t>
      </w:r>
      <w:r>
        <w:rPr>
          <w:rFonts w:ascii="宋体" w:hAnsi="宋体" w:cs="宋体" w:eastAsia="宋体"/>
          <w:sz w:val="24"/>
          <w:b/>
        </w:rPr>
        <w:t>（项号</w:t>
      </w:r>
      <w:r>
        <w:rPr>
          <w:rFonts w:ascii="宋体" w:hAnsi="宋体" w:cs="宋体" w:eastAsia="宋体"/>
          <w:sz w:val="24"/>
          <w:b/>
        </w:rPr>
        <w:t>5</w:t>
      </w:r>
      <w:r>
        <w:rPr>
          <w:rFonts w:ascii="宋体" w:hAnsi="宋体" w:cs="宋体" w:eastAsia="宋体"/>
          <w:sz w:val="24"/>
          <w:b/>
        </w:rPr>
        <w:t>）</w:t>
      </w:r>
    </w:p>
    <w:p>
      <w:pPr>
        <w:pStyle w:val="null3"/>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w:t>
      </w:r>
      <w:r>
        <w:rPr>
          <w:rFonts w:ascii="宋体" w:hAnsi="宋体" w:cs="宋体" w:eastAsia="宋体"/>
          <w:sz w:val="24"/>
        </w:rPr>
        <w:t>对各地核查评估中发现的问题，做好指导帮扶，指定专人定期跟踪进展，进展情况定期报送省生态环境厅土壤处。</w:t>
      </w:r>
      <w:r>
        <w:rPr>
          <w:rFonts w:ascii="宋体" w:hAnsi="宋体" w:cs="宋体" w:eastAsia="宋体"/>
          <w:sz w:val="24"/>
          <w:b/>
        </w:rPr>
        <w:t>（项号</w:t>
      </w:r>
      <w:r>
        <w:rPr>
          <w:rFonts w:ascii="宋体" w:hAnsi="宋体" w:cs="宋体" w:eastAsia="宋体"/>
          <w:sz w:val="24"/>
          <w:b/>
        </w:rPr>
        <w:t>6</w:t>
      </w:r>
      <w:r>
        <w:rPr>
          <w:rFonts w:ascii="宋体" w:hAnsi="宋体" w:cs="宋体" w:eastAsia="宋体"/>
          <w:sz w:val="24"/>
          <w:b/>
        </w:rPr>
        <w:t>）</w:t>
      </w:r>
    </w:p>
    <w:p>
      <w:pPr>
        <w:pStyle w:val="null3"/>
        <w:jc w:val="both"/>
      </w:pPr>
      <w:r>
        <w:rPr>
          <w:rFonts w:ascii="宋体" w:hAnsi="宋体" w:cs="宋体" w:eastAsia="宋体"/>
          <w:sz w:val="24"/>
        </w:rPr>
        <w:t>★</w:t>
      </w:r>
      <w:r>
        <w:rPr>
          <w:rFonts w:ascii="宋体" w:hAnsi="宋体" w:cs="宋体" w:eastAsia="宋体"/>
          <w:sz w:val="24"/>
        </w:rPr>
        <w:t>（</w:t>
      </w:r>
      <w:r>
        <w:rPr>
          <w:rFonts w:ascii="宋体" w:hAnsi="宋体" w:cs="宋体" w:eastAsia="宋体"/>
          <w:sz w:val="24"/>
        </w:rPr>
        <w:t>5</w:t>
      </w:r>
      <w:r>
        <w:rPr>
          <w:rFonts w:ascii="宋体" w:hAnsi="宋体" w:cs="宋体" w:eastAsia="宋体"/>
          <w:sz w:val="24"/>
        </w:rPr>
        <w:t>）</w:t>
      </w:r>
      <w:r>
        <w:rPr>
          <w:rFonts w:ascii="宋体" w:hAnsi="宋体" w:cs="宋体" w:eastAsia="宋体"/>
          <w:sz w:val="24"/>
        </w:rPr>
        <w:t>应配备相应的项目负责人（</w:t>
      </w:r>
      <w:r>
        <w:rPr>
          <w:rFonts w:ascii="宋体" w:hAnsi="宋体" w:cs="宋体" w:eastAsia="宋体"/>
          <w:sz w:val="24"/>
        </w:rPr>
        <w:t>1人）、技术负责人（1人）、其他技术人员（4人）及工作车辆（1辆）。</w:t>
      </w:r>
      <w:r>
        <w:rPr>
          <w:rFonts w:ascii="宋体" w:hAnsi="宋体" w:cs="宋体" w:eastAsia="宋体"/>
          <w:sz w:val="24"/>
        </w:rPr>
        <w:t>项目负责人是该项目实施全过程的真正组织者和指导者，担负实质性研究工作，挂名或不担负实质性研究工作的人不得作为项目组负责人</w:t>
      </w:r>
      <w:r>
        <w:rPr>
          <w:rFonts w:ascii="宋体" w:hAnsi="宋体" w:cs="宋体" w:eastAsia="宋体"/>
          <w:sz w:val="24"/>
        </w:rPr>
        <w:t>。</w:t>
      </w:r>
      <w:r>
        <w:rPr>
          <w:rFonts w:ascii="宋体" w:hAnsi="宋体" w:cs="宋体" w:eastAsia="宋体"/>
          <w:sz w:val="24"/>
          <w:b/>
        </w:rPr>
        <w:t>（</w:t>
      </w:r>
      <w:r>
        <w:rPr>
          <w:rFonts w:ascii="宋体" w:hAnsi="宋体" w:cs="宋体" w:eastAsia="宋体"/>
          <w:sz w:val="24"/>
          <w:b/>
        </w:rPr>
        <w:t>须提供专项承诺函并加盖公章。</w:t>
      </w:r>
      <w:r>
        <w:rPr>
          <w:rFonts w:ascii="宋体" w:hAnsi="宋体" w:cs="宋体" w:eastAsia="宋体"/>
          <w:sz w:val="24"/>
          <w:b/>
        </w:rPr>
        <w:t>）</w:t>
      </w:r>
    </w:p>
    <w:p>
      <w:pPr>
        <w:pStyle w:val="null3"/>
        <w:jc w:val="both"/>
      </w:pPr>
      <w:r>
        <w:rPr>
          <w:rFonts w:ascii="宋体" w:hAnsi="宋体" w:cs="宋体" w:eastAsia="宋体"/>
          <w:sz w:val="24"/>
        </w:rPr>
        <w:t>（二）</w:t>
      </w:r>
      <w:r>
        <w:rPr>
          <w:rFonts w:ascii="宋体" w:hAnsi="宋体" w:cs="宋体" w:eastAsia="宋体"/>
          <w:sz w:val="24"/>
        </w:rPr>
        <w:t>主要任务进度安排见表</w:t>
      </w:r>
      <w:r>
        <w:rPr>
          <w:rFonts w:ascii="宋体" w:hAnsi="宋体" w:cs="宋体" w:eastAsia="宋体"/>
          <w:sz w:val="24"/>
        </w:rPr>
        <w:t>1。</w:t>
      </w:r>
    </w:p>
    <w:p>
      <w:pPr>
        <w:pStyle w:val="null3"/>
        <w:jc w:val="center"/>
      </w:pPr>
      <w:r>
        <w:rPr>
          <w:rFonts w:ascii="宋体" w:hAnsi="宋体" w:cs="宋体" w:eastAsia="宋体"/>
          <w:sz w:val="24"/>
        </w:rPr>
        <w:t>表</w:t>
      </w:r>
      <w:r>
        <w:rPr>
          <w:rFonts w:ascii="宋体" w:hAnsi="宋体" w:cs="宋体" w:eastAsia="宋体"/>
          <w:sz w:val="24"/>
        </w:rPr>
        <w:t>1 主要任务进度安排</w:t>
      </w:r>
      <w:r>
        <w:rPr>
          <w:rFonts w:ascii="宋体" w:hAnsi="宋体" w:cs="宋体" w:eastAsia="宋体"/>
          <w:sz w:val="24"/>
          <w:b/>
        </w:rPr>
        <w:t>（项号</w:t>
      </w:r>
      <w:r>
        <w:rPr>
          <w:rFonts w:ascii="宋体" w:hAnsi="宋体" w:cs="宋体" w:eastAsia="宋体"/>
          <w:sz w:val="24"/>
          <w:b/>
        </w:rPr>
        <w:t>7</w:t>
      </w:r>
      <w:r>
        <w:rPr>
          <w:rFonts w:ascii="宋体" w:hAnsi="宋体" w:cs="宋体" w:eastAsia="宋体"/>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2040"/>
        <w:gridCol w:w="6263"/>
      </w:tblGrid>
      <w:tr>
        <w:tc>
          <w:tcPr>
            <w:tcW w:type="dxa" w:w="2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时</w:t>
            </w:r>
            <w:r>
              <w:rPr>
                <w:rFonts w:ascii="宋体" w:hAnsi="宋体" w:cs="宋体" w:eastAsia="宋体"/>
                <w:sz w:val="24"/>
              </w:rPr>
              <w:t xml:space="preserve">  </w:t>
            </w:r>
            <w:r>
              <w:rPr>
                <w:rFonts w:ascii="宋体" w:hAnsi="宋体" w:cs="宋体" w:eastAsia="宋体"/>
                <w:sz w:val="24"/>
              </w:rPr>
              <w:t>间</w:t>
            </w:r>
          </w:p>
        </w:tc>
        <w:tc>
          <w:tcPr>
            <w:tcW w:type="dxa" w:w="6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w:t>
            </w:r>
            <w:r>
              <w:rPr>
                <w:rFonts w:ascii="宋体" w:hAnsi="宋体" w:cs="宋体" w:eastAsia="宋体"/>
                <w:sz w:val="24"/>
              </w:rPr>
              <w:t>要</w:t>
            </w:r>
            <w:r>
              <w:rPr>
                <w:rFonts w:ascii="宋体" w:hAnsi="宋体" w:cs="宋体" w:eastAsia="宋体"/>
                <w:sz w:val="24"/>
              </w:rPr>
              <w:t>任</w:t>
            </w:r>
            <w:r>
              <w:rPr>
                <w:rFonts w:ascii="宋体" w:hAnsi="宋体" w:cs="宋体" w:eastAsia="宋体"/>
                <w:sz w:val="24"/>
              </w:rPr>
              <w:t>务</w:t>
            </w:r>
          </w:p>
        </w:tc>
      </w:tr>
      <w:tr>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2024年11月</w:t>
            </w:r>
            <w:r>
              <w:rPr>
                <w:rFonts w:ascii="宋体" w:hAnsi="宋体" w:cs="宋体" w:eastAsia="宋体"/>
                <w:sz w:val="24"/>
              </w:rPr>
              <w:t>底前</w:t>
            </w:r>
          </w:p>
        </w:tc>
        <w:tc>
          <w:tcPr>
            <w:tcW w:type="dxa" w:w="6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实地调研年度计划推进的</w:t>
            </w:r>
            <w:r>
              <w:rPr>
                <w:rFonts w:ascii="宋体" w:hAnsi="宋体" w:cs="宋体" w:eastAsia="宋体"/>
                <w:sz w:val="24"/>
              </w:rPr>
              <w:t>500个以上村庄，指导方案设计、施工和运维，形成指导意见并及时反馈、督促问题整改。</w:t>
            </w:r>
          </w:p>
        </w:tc>
      </w:tr>
      <w:tr>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2024年1</w:t>
            </w:r>
            <w:r>
              <w:rPr>
                <w:rFonts w:ascii="宋体" w:hAnsi="宋体" w:cs="宋体" w:eastAsia="宋体"/>
                <w:sz w:val="24"/>
              </w:rPr>
              <w:t>2</w:t>
            </w:r>
            <w:r>
              <w:rPr>
                <w:rFonts w:ascii="宋体" w:hAnsi="宋体" w:cs="宋体" w:eastAsia="宋体"/>
                <w:sz w:val="24"/>
              </w:rPr>
              <w:t>月</w:t>
            </w:r>
            <w:r>
              <w:rPr>
                <w:rFonts w:ascii="宋体" w:hAnsi="宋体" w:cs="宋体" w:eastAsia="宋体"/>
                <w:sz w:val="24"/>
              </w:rPr>
              <w:t>底</w:t>
            </w:r>
            <w:r>
              <w:rPr>
                <w:rFonts w:ascii="宋体" w:hAnsi="宋体" w:cs="宋体" w:eastAsia="宋体"/>
                <w:sz w:val="24"/>
              </w:rPr>
              <w:t>前</w:t>
            </w:r>
          </w:p>
        </w:tc>
        <w:tc>
          <w:tcPr>
            <w:tcW w:type="dxa" w:w="6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完成</w:t>
            </w:r>
            <w:r>
              <w:rPr>
                <w:rFonts w:ascii="宋体" w:hAnsi="宋体" w:cs="宋体" w:eastAsia="宋体"/>
                <w:sz w:val="24"/>
              </w:rPr>
              <w:t>工作核查评估，形成九市一区核查报告</w:t>
            </w:r>
            <w:r>
              <w:rPr>
                <w:rFonts w:ascii="宋体" w:hAnsi="宋体" w:cs="宋体" w:eastAsia="宋体"/>
                <w:sz w:val="24"/>
              </w:rPr>
              <w:t>和泉州市农村黑臭水体试点成效核查报告</w:t>
            </w:r>
            <w:r>
              <w:rPr>
                <w:rFonts w:ascii="宋体" w:hAnsi="宋体" w:cs="宋体" w:eastAsia="宋体"/>
                <w:sz w:val="24"/>
              </w:rPr>
              <w:t>。</w:t>
            </w:r>
          </w:p>
        </w:tc>
      </w:tr>
      <w:tr>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202</w:t>
            </w:r>
            <w:r>
              <w:rPr>
                <w:rFonts w:ascii="宋体" w:hAnsi="宋体" w:cs="宋体" w:eastAsia="宋体"/>
                <w:sz w:val="24"/>
              </w:rPr>
              <w:t>5</w:t>
            </w:r>
            <w:r>
              <w:rPr>
                <w:rFonts w:ascii="宋体" w:hAnsi="宋体" w:cs="宋体" w:eastAsia="宋体"/>
                <w:sz w:val="24"/>
              </w:rPr>
              <w:t>年</w:t>
            </w:r>
            <w:r>
              <w:rPr>
                <w:rFonts w:ascii="宋体" w:hAnsi="宋体" w:cs="宋体" w:eastAsia="宋体"/>
                <w:sz w:val="24"/>
              </w:rPr>
              <w:t>3</w:t>
            </w:r>
            <w:r>
              <w:rPr>
                <w:rFonts w:ascii="宋体" w:hAnsi="宋体" w:cs="宋体" w:eastAsia="宋体"/>
                <w:sz w:val="24"/>
              </w:rPr>
              <w:t>月</w:t>
            </w:r>
            <w:r>
              <w:rPr>
                <w:rFonts w:ascii="宋体" w:hAnsi="宋体" w:cs="宋体" w:eastAsia="宋体"/>
                <w:sz w:val="24"/>
              </w:rPr>
              <w:t>底</w:t>
            </w:r>
            <w:r>
              <w:rPr>
                <w:rFonts w:ascii="宋体" w:hAnsi="宋体" w:cs="宋体" w:eastAsia="宋体"/>
                <w:sz w:val="24"/>
              </w:rPr>
              <w:t>前</w:t>
            </w:r>
          </w:p>
        </w:tc>
        <w:tc>
          <w:tcPr>
            <w:tcW w:type="dxa" w:w="6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总结提炼</w:t>
            </w:r>
            <w:r>
              <w:rPr>
                <w:rFonts w:ascii="宋体" w:hAnsi="宋体" w:cs="宋体" w:eastAsia="宋体"/>
                <w:sz w:val="24"/>
              </w:rPr>
              <w:t>30个以上经验做法（包括试点示范、县和相关村庄经验做法）。</w:t>
            </w:r>
          </w:p>
        </w:tc>
      </w:tr>
      <w:tr>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202</w:t>
            </w:r>
            <w:r>
              <w:rPr>
                <w:rFonts w:ascii="宋体" w:hAnsi="宋体" w:cs="宋体" w:eastAsia="宋体"/>
                <w:sz w:val="24"/>
              </w:rPr>
              <w:t>5</w:t>
            </w:r>
            <w:r>
              <w:rPr>
                <w:rFonts w:ascii="宋体" w:hAnsi="宋体" w:cs="宋体" w:eastAsia="宋体"/>
                <w:sz w:val="24"/>
              </w:rPr>
              <w:t>年</w:t>
            </w:r>
            <w:r>
              <w:rPr>
                <w:rFonts w:ascii="宋体" w:hAnsi="宋体" w:cs="宋体" w:eastAsia="宋体"/>
                <w:sz w:val="24"/>
              </w:rPr>
              <w:t>3</w:t>
            </w:r>
            <w:r>
              <w:rPr>
                <w:rFonts w:ascii="宋体" w:hAnsi="宋体" w:cs="宋体" w:eastAsia="宋体"/>
                <w:sz w:val="24"/>
              </w:rPr>
              <w:t>月</w:t>
            </w:r>
            <w:r>
              <w:rPr>
                <w:rFonts w:ascii="宋体" w:hAnsi="宋体" w:cs="宋体" w:eastAsia="宋体"/>
                <w:sz w:val="24"/>
              </w:rPr>
              <w:t>底</w:t>
            </w:r>
            <w:r>
              <w:rPr>
                <w:rFonts w:ascii="宋体" w:hAnsi="宋体" w:cs="宋体" w:eastAsia="宋体"/>
                <w:sz w:val="24"/>
              </w:rPr>
              <w:t>前</w:t>
            </w:r>
          </w:p>
        </w:tc>
        <w:tc>
          <w:tcPr>
            <w:tcW w:type="dxa" w:w="6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总结形成反面典型案例（每地至少</w:t>
            </w:r>
            <w:r>
              <w:rPr>
                <w:rFonts w:ascii="宋体" w:hAnsi="宋体" w:cs="宋体" w:eastAsia="宋体"/>
                <w:sz w:val="24"/>
              </w:rPr>
              <w:t>1个）</w:t>
            </w:r>
          </w:p>
        </w:tc>
      </w:tr>
    </w:tbl>
    <w:p>
      <w:pPr>
        <w:pStyle w:val="null3"/>
        <w:jc w:val="both"/>
      </w:pPr>
      <w:r>
        <w:rPr>
          <w:rFonts w:ascii="宋体" w:hAnsi="宋体" w:cs="宋体" w:eastAsia="宋体"/>
          <w:sz w:val="24"/>
        </w:rPr>
        <w:t>（三）</w:t>
      </w:r>
      <w:r>
        <w:rPr>
          <w:rFonts w:ascii="宋体" w:hAnsi="宋体" w:cs="宋体" w:eastAsia="宋体"/>
          <w:sz w:val="24"/>
        </w:rPr>
        <w:t>提交成果</w:t>
      </w:r>
    </w:p>
    <w:p>
      <w:pPr>
        <w:pStyle w:val="null3"/>
        <w:jc w:val="both"/>
      </w:pPr>
      <w:r>
        <w:rPr>
          <w:rFonts w:ascii="宋体" w:hAnsi="宋体" w:cs="宋体" w:eastAsia="宋体"/>
          <w:sz w:val="24"/>
        </w:rPr>
        <w:t>（</w:t>
      </w:r>
      <w:r>
        <w:rPr>
          <w:rFonts w:ascii="宋体" w:hAnsi="宋体" w:cs="宋体" w:eastAsia="宋体"/>
          <w:sz w:val="24"/>
        </w:rPr>
        <w:t>1）福建省农村生活污水治理</w:t>
      </w:r>
      <w:r>
        <w:rPr>
          <w:rFonts w:ascii="宋体" w:hAnsi="宋体" w:cs="宋体" w:eastAsia="宋体"/>
          <w:sz w:val="24"/>
        </w:rPr>
        <w:t>为民办实事项目村庄的</w:t>
      </w:r>
      <w:r>
        <w:rPr>
          <w:rFonts w:ascii="宋体" w:hAnsi="宋体" w:cs="宋体" w:eastAsia="宋体"/>
          <w:sz w:val="24"/>
        </w:rPr>
        <w:t>“一村一报告”</w:t>
      </w:r>
      <w:r>
        <w:rPr>
          <w:rFonts w:ascii="宋体" w:hAnsi="宋体" w:cs="宋体" w:eastAsia="宋体"/>
          <w:sz w:val="24"/>
        </w:rPr>
        <w:t>。</w:t>
      </w:r>
      <w:r>
        <w:rPr>
          <w:rFonts w:ascii="宋体" w:hAnsi="宋体" w:cs="宋体" w:eastAsia="宋体"/>
          <w:sz w:val="24"/>
        </w:rPr>
        <w:t>总结提炼</w:t>
      </w:r>
      <w:r>
        <w:rPr>
          <w:rFonts w:ascii="宋体" w:hAnsi="宋体" w:cs="宋体" w:eastAsia="宋体"/>
          <w:sz w:val="24"/>
        </w:rPr>
        <w:t>3</w:t>
      </w:r>
      <w:r>
        <w:rPr>
          <w:rFonts w:ascii="宋体" w:hAnsi="宋体" w:cs="宋体" w:eastAsia="宋体"/>
          <w:sz w:val="24"/>
        </w:rPr>
        <w:t>0个以上经验做法，总结农村生活污水提升治理正反案例（每地至少1个）</w:t>
      </w:r>
      <w:r>
        <w:rPr>
          <w:rFonts w:ascii="宋体" w:hAnsi="宋体" w:cs="宋体" w:eastAsia="宋体"/>
          <w:sz w:val="24"/>
        </w:rPr>
        <w:t>。</w:t>
      </w:r>
      <w:r>
        <w:rPr>
          <w:rFonts w:ascii="宋体" w:hAnsi="宋体" w:cs="宋体" w:eastAsia="宋体"/>
          <w:sz w:val="24"/>
          <w:b/>
        </w:rPr>
        <w:t>（项号</w:t>
      </w:r>
      <w:r>
        <w:rPr>
          <w:rFonts w:ascii="宋体" w:hAnsi="宋体" w:cs="宋体" w:eastAsia="宋体"/>
          <w:sz w:val="24"/>
          <w:b/>
        </w:rPr>
        <w:t>8</w:t>
      </w:r>
      <w:r>
        <w:rPr>
          <w:rFonts w:ascii="宋体" w:hAnsi="宋体" w:cs="宋体" w:eastAsia="宋体"/>
          <w:sz w:val="24"/>
          <w:b/>
        </w:rPr>
        <w:t>）</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）福建省农村生活污水治理</w:t>
      </w:r>
      <w:r>
        <w:rPr>
          <w:rFonts w:ascii="宋体" w:hAnsi="宋体" w:cs="宋体" w:eastAsia="宋体"/>
          <w:sz w:val="24"/>
        </w:rPr>
        <w:t>年度为民办实事工作</w:t>
      </w:r>
      <w:r>
        <w:rPr>
          <w:rFonts w:ascii="宋体" w:hAnsi="宋体" w:cs="宋体" w:eastAsia="宋体"/>
          <w:sz w:val="24"/>
        </w:rPr>
        <w:t>核查</w:t>
      </w:r>
      <w:r>
        <w:rPr>
          <w:rFonts w:ascii="宋体" w:hAnsi="宋体" w:cs="宋体" w:eastAsia="宋体"/>
          <w:sz w:val="24"/>
        </w:rPr>
        <w:t>评估报告</w:t>
      </w:r>
      <w:r>
        <w:rPr>
          <w:rFonts w:ascii="宋体" w:hAnsi="宋体" w:cs="宋体" w:eastAsia="宋体"/>
          <w:sz w:val="24"/>
        </w:rPr>
        <w:t>（</w:t>
      </w:r>
      <w:r>
        <w:rPr>
          <w:rFonts w:ascii="宋体" w:hAnsi="宋体" w:cs="宋体" w:eastAsia="宋体"/>
          <w:sz w:val="24"/>
        </w:rPr>
        <w:t>九市一区</w:t>
      </w:r>
      <w:r>
        <w:rPr>
          <w:rFonts w:ascii="宋体" w:hAnsi="宋体" w:cs="宋体" w:eastAsia="宋体"/>
          <w:sz w:val="24"/>
        </w:rPr>
        <w:t>）</w:t>
      </w:r>
      <w:r>
        <w:rPr>
          <w:rFonts w:ascii="宋体" w:hAnsi="宋体" w:cs="宋体" w:eastAsia="宋体"/>
          <w:sz w:val="24"/>
        </w:rPr>
        <w:t>和泉州市农村黑臭水体试点成效核查报告</w:t>
      </w:r>
      <w:r>
        <w:rPr>
          <w:rFonts w:ascii="宋体" w:hAnsi="宋体" w:cs="宋体" w:eastAsia="宋体"/>
          <w:sz w:val="24"/>
        </w:rPr>
        <w:t>。</w:t>
      </w:r>
      <w:r>
        <w:rPr>
          <w:rFonts w:ascii="宋体" w:hAnsi="宋体" w:cs="宋体" w:eastAsia="宋体"/>
          <w:sz w:val="24"/>
          <w:b/>
        </w:rPr>
        <w:t>（项号</w:t>
      </w:r>
      <w:r>
        <w:rPr>
          <w:rFonts w:ascii="宋体" w:hAnsi="宋体" w:cs="宋体" w:eastAsia="宋体"/>
          <w:sz w:val="24"/>
          <w:b/>
        </w:rPr>
        <w:t>9</w:t>
      </w:r>
      <w:r>
        <w:rPr>
          <w:rFonts w:ascii="宋体" w:hAnsi="宋体" w:cs="宋体" w:eastAsia="宋体"/>
          <w:sz w:val="24"/>
          <w:b/>
        </w:rPr>
        <w:t>）</w:t>
      </w:r>
    </w:p>
    <w:p>
      <w:pPr>
        <w:pStyle w:val="null3"/>
        <w:jc w:val="both"/>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rPr>
        <w:t>宣传合集编印。根据需求编印一定数量项目成果合集，每个案例不少于</w:t>
      </w:r>
      <w:r>
        <w:rPr>
          <w:rFonts w:ascii="宋体" w:hAnsi="宋体" w:cs="宋体" w:eastAsia="宋体"/>
          <w:sz w:val="24"/>
        </w:rPr>
        <w:t>2个页码，整本不少于60个页码。</w:t>
      </w:r>
      <w:r>
        <w:rPr>
          <w:rFonts w:ascii="宋体" w:hAnsi="宋体" w:cs="宋体" w:eastAsia="宋体"/>
          <w:sz w:val="24"/>
          <w:b/>
        </w:rPr>
        <w:t>（项号</w:t>
      </w:r>
      <w:r>
        <w:rPr>
          <w:rFonts w:ascii="宋体" w:hAnsi="宋体" w:cs="宋体" w:eastAsia="宋体"/>
          <w:sz w:val="24"/>
          <w:b/>
        </w:rPr>
        <w:t>10</w:t>
      </w:r>
      <w:r>
        <w:rPr>
          <w:rFonts w:ascii="宋体" w:hAnsi="宋体" w:cs="宋体" w:eastAsia="宋体"/>
          <w:sz w:val="24"/>
          <w:b/>
        </w:rPr>
        <w:t>）</w:t>
      </w:r>
    </w:p>
    <w:p>
      <w:pPr>
        <w:pStyle w:val="null3"/>
        <w:jc w:val="both"/>
      </w:pPr>
      <w:r>
        <w:rPr>
          <w:rFonts w:ascii="宋体" w:hAnsi="宋体" w:cs="宋体" w:eastAsia="宋体"/>
          <w:sz w:val="24"/>
        </w:rPr>
        <w:t>（四）</w:t>
      </w:r>
      <w:r>
        <w:rPr>
          <w:rFonts w:ascii="宋体" w:hAnsi="宋体" w:cs="宋体" w:eastAsia="宋体"/>
          <w:sz w:val="24"/>
        </w:rPr>
        <w:t>其他要求</w:t>
      </w:r>
    </w:p>
    <w:p>
      <w:pPr>
        <w:pStyle w:val="null3"/>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成交人</w:t>
      </w:r>
      <w:r>
        <w:rPr>
          <w:rFonts w:ascii="宋体" w:hAnsi="宋体" w:cs="宋体" w:eastAsia="宋体"/>
          <w:sz w:val="24"/>
        </w:rPr>
        <w:t>在</w:t>
      </w:r>
      <w:r>
        <w:rPr>
          <w:rFonts w:ascii="宋体" w:hAnsi="宋体" w:cs="宋体" w:eastAsia="宋体"/>
          <w:sz w:val="24"/>
        </w:rPr>
        <w:t>成交</w:t>
      </w:r>
      <w:r>
        <w:rPr>
          <w:rFonts w:ascii="宋体" w:hAnsi="宋体" w:cs="宋体" w:eastAsia="宋体"/>
          <w:sz w:val="24"/>
        </w:rPr>
        <w:t>后须依照采购人要求和行业规范要求、质量标准，保质保量完成本项目所有服务内容（严格按照《福建省农村生活污水治理</w:t>
      </w:r>
      <w:r>
        <w:rPr>
          <w:rFonts w:ascii="宋体" w:hAnsi="宋体" w:cs="宋体" w:eastAsia="宋体"/>
          <w:sz w:val="24"/>
        </w:rPr>
        <w:t>年度为民办实事工作核查</w:t>
      </w:r>
      <w:r>
        <w:rPr>
          <w:rFonts w:ascii="宋体" w:hAnsi="宋体" w:cs="宋体" w:eastAsia="宋体"/>
          <w:sz w:val="24"/>
        </w:rPr>
        <w:t>暂行办法》和《</w:t>
      </w:r>
      <w:r>
        <w:rPr>
          <w:rFonts w:ascii="宋体" w:hAnsi="宋体" w:cs="宋体" w:eastAsia="宋体"/>
          <w:sz w:val="24"/>
        </w:rPr>
        <w:t>福建省</w:t>
      </w:r>
      <w:r>
        <w:rPr>
          <w:rFonts w:ascii="宋体" w:hAnsi="宋体" w:cs="宋体" w:eastAsia="宋体"/>
          <w:sz w:val="24"/>
        </w:rPr>
        <w:t>农村生活污水提升治理五年行动计划（</w:t>
      </w:r>
      <w:r>
        <w:rPr>
          <w:rFonts w:ascii="宋体" w:hAnsi="宋体" w:cs="宋体" w:eastAsia="宋体"/>
          <w:sz w:val="24"/>
        </w:rPr>
        <w:t>2021-2025年）》要求实施）。</w:t>
      </w:r>
      <w:r>
        <w:rPr>
          <w:rFonts w:ascii="宋体" w:hAnsi="宋体" w:cs="宋体" w:eastAsia="宋体"/>
          <w:sz w:val="24"/>
          <w:b/>
        </w:rPr>
        <w:t>（项号</w:t>
      </w:r>
      <w:r>
        <w:rPr>
          <w:rFonts w:ascii="宋体" w:hAnsi="宋体" w:cs="宋体" w:eastAsia="宋体"/>
          <w:sz w:val="24"/>
          <w:b/>
        </w:rPr>
        <w:t>11</w:t>
      </w:r>
      <w:r>
        <w:rPr>
          <w:rFonts w:ascii="宋体" w:hAnsi="宋体" w:cs="宋体" w:eastAsia="宋体"/>
          <w:sz w:val="24"/>
          <w:b/>
        </w:rPr>
        <w:t>）</w:t>
      </w:r>
    </w:p>
    <w:p>
      <w:pPr>
        <w:pStyle w:val="null3"/>
        <w:jc w:val="both"/>
      </w:pPr>
      <w:r>
        <w:rPr>
          <w:rFonts w:ascii="宋体" w:hAnsi="宋体" w:cs="宋体" w:eastAsia="宋体"/>
          <w:sz w:val="24"/>
        </w:rPr>
        <w:t>（</w:t>
      </w:r>
      <w:r>
        <w:rPr>
          <w:rFonts w:ascii="宋体" w:hAnsi="宋体" w:cs="宋体" w:eastAsia="宋体"/>
          <w:sz w:val="24"/>
        </w:rPr>
        <w:t>2）安全问题：</w:t>
      </w:r>
      <w:r>
        <w:rPr>
          <w:rFonts w:ascii="宋体" w:hAnsi="宋体" w:cs="宋体" w:eastAsia="宋体"/>
          <w:sz w:val="24"/>
        </w:rPr>
        <w:t>成交人</w:t>
      </w:r>
      <w:r>
        <w:rPr>
          <w:rFonts w:ascii="宋体" w:hAnsi="宋体" w:cs="宋体" w:eastAsia="宋体"/>
          <w:sz w:val="24"/>
        </w:rPr>
        <w:t>应对本项目的安全问题负责，若因在实施过程中</w:t>
      </w:r>
      <w:r>
        <w:rPr>
          <w:rFonts w:ascii="宋体" w:hAnsi="宋体" w:cs="宋体" w:eastAsia="宋体"/>
          <w:sz w:val="24"/>
        </w:rPr>
        <w:t>成交人</w:t>
      </w:r>
      <w:r>
        <w:rPr>
          <w:rFonts w:ascii="宋体" w:hAnsi="宋体" w:cs="宋体" w:eastAsia="宋体"/>
          <w:sz w:val="24"/>
        </w:rPr>
        <w:t>工作人员出现意外安全事故，其责任由</w:t>
      </w:r>
      <w:r>
        <w:rPr>
          <w:rFonts w:ascii="宋体" w:hAnsi="宋体" w:cs="宋体" w:eastAsia="宋体"/>
          <w:sz w:val="24"/>
        </w:rPr>
        <w:t>成交人</w:t>
      </w:r>
      <w:r>
        <w:rPr>
          <w:rFonts w:ascii="宋体" w:hAnsi="宋体" w:cs="宋体" w:eastAsia="宋体"/>
          <w:sz w:val="24"/>
        </w:rPr>
        <w:t>承担。</w:t>
      </w:r>
      <w:r>
        <w:rPr>
          <w:rFonts w:ascii="宋体" w:hAnsi="宋体" w:cs="宋体" w:eastAsia="宋体"/>
          <w:sz w:val="24"/>
          <w:b/>
        </w:rPr>
        <w:t>（项号</w:t>
      </w:r>
      <w:r>
        <w:rPr>
          <w:rFonts w:ascii="宋体" w:hAnsi="宋体" w:cs="宋体" w:eastAsia="宋体"/>
          <w:sz w:val="24"/>
          <w:b/>
        </w:rPr>
        <w:t>12</w:t>
      </w:r>
      <w:r>
        <w:rPr>
          <w:rFonts w:ascii="宋体" w:hAnsi="宋体" w:cs="宋体" w:eastAsia="宋体"/>
          <w:sz w:val="24"/>
          <w:b/>
        </w:rPr>
        <w:t>）</w:t>
      </w:r>
    </w:p>
    <w:p>
      <w:pPr>
        <w:pStyle w:val="null3"/>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成交人</w:t>
      </w:r>
      <w:r>
        <w:rPr>
          <w:rFonts w:ascii="宋体" w:hAnsi="宋体" w:cs="宋体" w:eastAsia="宋体"/>
          <w:sz w:val="24"/>
        </w:rPr>
        <w:t>在</w:t>
      </w:r>
      <w:r>
        <w:rPr>
          <w:rFonts w:ascii="宋体" w:hAnsi="宋体" w:cs="宋体" w:eastAsia="宋体"/>
          <w:sz w:val="24"/>
        </w:rPr>
        <w:t>成交</w:t>
      </w:r>
      <w:r>
        <w:rPr>
          <w:rFonts w:ascii="宋体" w:hAnsi="宋体" w:cs="宋体" w:eastAsia="宋体"/>
          <w:sz w:val="24"/>
        </w:rPr>
        <w:t>后在免费服务保障期限内提供与项目相关咨询、协调、培训和项目审查等技术支持。</w:t>
      </w:r>
      <w:r>
        <w:rPr>
          <w:rFonts w:ascii="宋体" w:hAnsi="宋体" w:cs="宋体" w:eastAsia="宋体"/>
          <w:sz w:val="24"/>
          <w:b/>
        </w:rPr>
        <w:t>（项号</w:t>
      </w:r>
      <w:r>
        <w:rPr>
          <w:rFonts w:ascii="宋体" w:hAnsi="宋体" w:cs="宋体" w:eastAsia="宋体"/>
          <w:sz w:val="24"/>
          <w:b/>
        </w:rPr>
        <w:t>13</w:t>
      </w:r>
      <w:r>
        <w:rPr>
          <w:rFonts w:ascii="宋体" w:hAnsi="宋体" w:cs="宋体" w:eastAsia="宋体"/>
          <w:sz w:val="24"/>
          <w:b/>
        </w:rPr>
        <w:t>）</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自合同签订之日起至2025年3月31日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按磋商文件提供成果。</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1、期次1，说明：按磋商文件和合同约定条款提供成果后进行验收。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1、合同签订后，成交人开具等额发票，达到付款条件起30日内，支付合同总金额的70.00%</w:t>
            </w:r>
          </w:p>
          <w:p>
            <w:pPr>
              <w:pStyle w:val="null3"/>
            </w:pPr>
            <w:r>
              <w:rPr/>
              <w:t>2、最终验收合格后，成交人开具等额发票，达到付款条件起30日内，支付合同总金额的30.00%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b/>
          <w:shd w:fill="FFFFFF" w:val="clear"/>
        </w:rPr>
        <w:t>8.违约责任</w:t>
      </w:r>
    </w:p>
    <w:p>
      <w:pPr>
        <w:pStyle w:val="null3"/>
        <w:jc w:val="left"/>
      </w:pPr>
      <w:r>
        <w:rPr>
          <w:rFonts w:ascii="宋体" w:hAnsi="宋体" w:cs="宋体" w:eastAsia="宋体"/>
          <w:sz w:val="24"/>
          <w:shd w:fill="FFFFFF" w:val="clear"/>
        </w:rPr>
        <w:t>8.1因</w:t>
      </w:r>
      <w:r>
        <w:rPr>
          <w:rFonts w:ascii="宋体" w:hAnsi="宋体" w:cs="宋体" w:eastAsia="宋体"/>
          <w:sz w:val="24"/>
          <w:shd w:fill="FFFFFF" w:val="clear"/>
        </w:rPr>
        <w:t>成交人</w:t>
      </w:r>
      <w:r>
        <w:rPr>
          <w:rFonts w:ascii="宋体" w:hAnsi="宋体" w:cs="宋体" w:eastAsia="宋体"/>
          <w:sz w:val="24"/>
          <w:shd w:fill="FFFFFF" w:val="clear"/>
        </w:rPr>
        <w:t>原因造成采购合同无法按时签订，视为</w:t>
      </w:r>
      <w:r>
        <w:rPr>
          <w:rFonts w:ascii="宋体" w:hAnsi="宋体" w:cs="宋体" w:eastAsia="宋体"/>
          <w:sz w:val="24"/>
          <w:shd w:fill="FFFFFF" w:val="clear"/>
        </w:rPr>
        <w:t>成交人</w:t>
      </w:r>
      <w:r>
        <w:rPr>
          <w:rFonts w:ascii="宋体" w:hAnsi="宋体" w:cs="宋体" w:eastAsia="宋体"/>
          <w:sz w:val="24"/>
          <w:shd w:fill="FFFFFF" w:val="clear"/>
        </w:rPr>
        <w:t>违约，</w:t>
      </w:r>
      <w:r>
        <w:rPr>
          <w:rFonts w:ascii="宋体" w:hAnsi="宋体" w:cs="宋体" w:eastAsia="宋体"/>
          <w:sz w:val="24"/>
          <w:shd w:fill="FFFFFF" w:val="clear"/>
        </w:rPr>
        <w:t>成交人</w:t>
      </w:r>
      <w:r>
        <w:rPr>
          <w:rFonts w:ascii="宋体" w:hAnsi="宋体" w:cs="宋体" w:eastAsia="宋体"/>
          <w:sz w:val="24"/>
          <w:shd w:fill="FFFFFF" w:val="clear"/>
        </w:rPr>
        <w:t>违约对采购人造成的损失的，需另行支付相应的赔偿。</w:t>
      </w:r>
    </w:p>
    <w:p>
      <w:pPr>
        <w:pStyle w:val="null3"/>
        <w:jc w:val="left"/>
      </w:pPr>
      <w:r>
        <w:rPr>
          <w:rFonts w:ascii="宋体" w:hAnsi="宋体" w:cs="宋体" w:eastAsia="宋体"/>
          <w:sz w:val="24"/>
          <w:shd w:fill="FFFFFF" w:val="clear"/>
        </w:rPr>
        <w:t>8.2在签订采购合同之后，</w:t>
      </w:r>
      <w:r>
        <w:rPr>
          <w:rFonts w:ascii="宋体" w:hAnsi="宋体" w:cs="宋体" w:eastAsia="宋体"/>
          <w:sz w:val="24"/>
          <w:shd w:fill="FFFFFF" w:val="clear"/>
        </w:rPr>
        <w:t>成交人</w:t>
      </w:r>
      <w:r>
        <w:rPr>
          <w:rFonts w:ascii="宋体" w:hAnsi="宋体" w:cs="宋体" w:eastAsia="宋体"/>
          <w:sz w:val="24"/>
          <w:shd w:fill="FFFFFF" w:val="clear"/>
        </w:rPr>
        <w:t>要求解除合同的，视为</w:t>
      </w:r>
      <w:r>
        <w:rPr>
          <w:rFonts w:ascii="宋体" w:hAnsi="宋体" w:cs="宋体" w:eastAsia="宋体"/>
          <w:sz w:val="24"/>
          <w:shd w:fill="FFFFFF" w:val="clear"/>
        </w:rPr>
        <w:t>成交人</w:t>
      </w:r>
      <w:r>
        <w:rPr>
          <w:rFonts w:ascii="宋体" w:hAnsi="宋体" w:cs="宋体" w:eastAsia="宋体"/>
          <w:sz w:val="24"/>
          <w:shd w:fill="FFFFFF" w:val="clear"/>
        </w:rPr>
        <w:t>违约，对采购人造成的损失的，</w:t>
      </w:r>
      <w:r>
        <w:rPr>
          <w:rFonts w:ascii="宋体" w:hAnsi="宋体" w:cs="宋体" w:eastAsia="宋体"/>
          <w:sz w:val="24"/>
          <w:shd w:fill="FFFFFF" w:val="clear"/>
        </w:rPr>
        <w:t>成交人</w:t>
      </w:r>
      <w:r>
        <w:rPr>
          <w:rFonts w:ascii="宋体" w:hAnsi="宋体" w:cs="宋体" w:eastAsia="宋体"/>
          <w:sz w:val="24"/>
          <w:shd w:fill="FFFFFF" w:val="clear"/>
        </w:rPr>
        <w:t>需支付相应的赔偿。</w:t>
      </w:r>
    </w:p>
    <w:p>
      <w:pPr>
        <w:pStyle w:val="null3"/>
        <w:jc w:val="left"/>
      </w:pPr>
      <w:r>
        <w:rPr>
          <w:rFonts w:ascii="宋体" w:hAnsi="宋体" w:cs="宋体" w:eastAsia="宋体"/>
          <w:sz w:val="24"/>
          <w:shd w:fill="FFFFFF" w:val="clear"/>
        </w:rPr>
        <w:t>8.3若</w:t>
      </w:r>
      <w:r>
        <w:rPr>
          <w:rFonts w:ascii="宋体" w:hAnsi="宋体" w:cs="宋体" w:eastAsia="宋体"/>
          <w:sz w:val="24"/>
          <w:shd w:fill="FFFFFF" w:val="clear"/>
        </w:rPr>
        <w:t>成交人</w:t>
      </w:r>
      <w:r>
        <w:rPr>
          <w:rFonts w:ascii="宋体" w:hAnsi="宋体" w:cs="宋体" w:eastAsia="宋体"/>
          <w:sz w:val="24"/>
          <w:shd w:fill="FFFFFF" w:val="clear"/>
        </w:rPr>
        <w:t>发生工伤事故造成的人身伤害，所产生的一切费用均由</w:t>
      </w:r>
      <w:r>
        <w:rPr>
          <w:rFonts w:ascii="宋体" w:hAnsi="宋体" w:cs="宋体" w:eastAsia="宋体"/>
          <w:sz w:val="24"/>
          <w:shd w:fill="FFFFFF" w:val="clear"/>
        </w:rPr>
        <w:t>成交人</w:t>
      </w:r>
      <w:r>
        <w:rPr>
          <w:rFonts w:ascii="宋体" w:hAnsi="宋体" w:cs="宋体" w:eastAsia="宋体"/>
          <w:sz w:val="24"/>
          <w:shd w:fill="FFFFFF" w:val="clear"/>
        </w:rPr>
        <w:t>自行承担；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jc w:val="left"/>
      </w:pPr>
      <w:r>
        <w:rPr>
          <w:rFonts w:ascii="宋体" w:hAnsi="宋体" w:cs="宋体" w:eastAsia="宋体"/>
          <w:sz w:val="24"/>
          <w:b/>
        </w:rPr>
        <w:t>9.</w:t>
      </w:r>
      <w:r>
        <w:rPr>
          <w:rFonts w:ascii="宋体" w:hAnsi="宋体" w:cs="宋体" w:eastAsia="宋体"/>
          <w:sz w:val="24"/>
        </w:rPr>
        <w:t>保密：</w:t>
      </w:r>
      <w:r>
        <w:rPr>
          <w:rFonts w:ascii="宋体" w:hAnsi="宋体" w:cs="宋体" w:eastAsia="宋体"/>
          <w:sz w:val="24"/>
        </w:rPr>
        <w:t>成交人</w:t>
      </w:r>
      <w:r>
        <w:rPr>
          <w:rFonts w:ascii="宋体" w:hAnsi="宋体" w:cs="宋体" w:eastAsia="宋体"/>
          <w:sz w:val="24"/>
        </w:rPr>
        <w:t>在项目实施过程中，对采购人所提供的所有相关资料、数据，未经采购人书面同意不得向任何第三人泄露，且保密责任不因合同的终止或解除而失效。</w:t>
      </w:r>
    </w:p>
    <w:p>
      <w:pPr>
        <w:pStyle w:val="null3"/>
        <w:jc w:val="left"/>
      </w:pPr>
      <w:r>
        <w:rPr>
          <w:rFonts w:ascii="宋体" w:hAnsi="宋体" w:cs="宋体" w:eastAsia="宋体"/>
          <w:sz w:val="24"/>
          <w:b/>
        </w:rPr>
        <w:t>10</w:t>
      </w:r>
      <w:r>
        <w:rPr>
          <w:rFonts w:ascii="宋体" w:hAnsi="宋体" w:cs="宋体" w:eastAsia="宋体"/>
          <w:sz w:val="24"/>
          <w:b/>
        </w:rPr>
        <w:t>不可抗力</w:t>
      </w:r>
    </w:p>
    <w:p>
      <w:pPr>
        <w:pStyle w:val="null3"/>
        <w:jc w:val="left"/>
      </w:pPr>
      <w:r>
        <w:rPr>
          <w:rFonts w:ascii="宋体" w:hAnsi="宋体" w:cs="宋体" w:eastAsia="宋体"/>
          <w:sz w:val="24"/>
          <w:shd w:fill="FFFFFF" w:val="clear"/>
        </w:rPr>
        <w:t>10</w:t>
      </w:r>
      <w:r>
        <w:rPr>
          <w:rFonts w:ascii="宋体" w:hAnsi="宋体" w:cs="宋体" w:eastAsia="宋体"/>
          <w:sz w:val="24"/>
          <w:shd w:fill="FFFFFF" w:val="clear"/>
        </w:rPr>
        <w:t>.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null3"/>
        <w:jc w:val="left"/>
      </w:pPr>
      <w:r>
        <w:rPr>
          <w:rFonts w:ascii="宋体" w:hAnsi="宋体" w:cs="宋体" w:eastAsia="宋体"/>
          <w:sz w:val="24"/>
          <w:shd w:fill="FFFFFF" w:val="clear"/>
        </w:rPr>
        <w:t>10</w:t>
      </w:r>
      <w:r>
        <w:rPr>
          <w:rFonts w:ascii="宋体" w:hAnsi="宋体" w:cs="宋体" w:eastAsia="宋体"/>
          <w:sz w:val="24"/>
          <w:shd w:fill="FFFFFF" w:val="clear"/>
        </w:rPr>
        <w:t>.2本文件中的不可抗力指不能预见、不能避免、不能克服的客观情况，包括但不限于：自然灾害如地震、台风、洪水、火灾及政府行为、法律规定或其适用的变化等。</w:t>
      </w:r>
    </w:p>
    <w:p>
      <w:pPr>
        <w:pStyle w:val="null3"/>
        <w:jc w:val="left"/>
        <w:outlineLvl w:val="2"/>
      </w:pPr>
      <w:r>
        <w:rPr>
          <w:sz w:val="28"/>
          <w:b/>
        </w:rPr>
        <w:t>四、其他事项</w:t>
      </w:r>
    </w:p>
    <w:p>
      <w:pPr>
        <w:pStyle w:val="null3"/>
        <w:jc w:val="left"/>
      </w:pPr>
      <w:r>
        <w:rPr/>
        <w:t>1、除磋商文件另有规定外，若出现有关法律、法规和规章有强制性规定但磋商文件未列明的情形，则响应供应商应按照有关法律、法规和规章强制性规定执行。 2、其他： 无</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r>
        <w:br/>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附件2 报价一览表</w:t>
      </w:r>
    </w:p>
    <w:p>
      <w:pPr>
        <w:pStyle w:val="null3"/>
        <w:ind w:firstLine="480"/>
        <w:jc w:val="left"/>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磋商保证金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 xml:space="preserve">　　　　 </w:t>
      </w:r>
      <w:r>
        <w:rPr>
          <w:u w:val="single"/>
        </w:rPr>
        <w:t>（签字）</w:t>
      </w:r>
    </w:p>
    <w:p>
      <w:pPr>
        <w:pStyle w:val="null3"/>
        <w:jc w:val="left"/>
      </w:pPr>
      <w:r>
        <w:rPr/>
        <w:t xml:space="preserve"> </w:t>
        <w:br/>
        <w:br w:type="page"/>
      </w:r>
    </w:p>
    <w:p>
      <w:pPr>
        <w:pStyle w:val="null3"/>
        <w:jc w:val="center"/>
        <w:outlineLvl w:val="3"/>
      </w:pPr>
      <w:r>
        <w:rPr>
          <w:sz w:val="24"/>
          <w:b/>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left"/>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